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950E5">
      <w:pPr>
        <w:pStyle w:val="2"/>
        <w:bidi w:val="0"/>
        <w:rPr>
          <w:rFonts w:hint="default"/>
          <w:lang w:val="en-US"/>
        </w:rPr>
      </w:pPr>
      <w:r>
        <w:rPr>
          <w:rFonts w:hint="eastAsia"/>
        </w:rPr>
        <w:t>项目</w:t>
      </w:r>
      <w:r>
        <w:rPr>
          <w:rFonts w:hint="eastAsia"/>
          <w:lang w:val="en-US" w:eastAsia="zh-CN"/>
        </w:rPr>
        <w:t>二 配电系统的检修</w:t>
      </w:r>
    </w:p>
    <w:p w14:paraId="56E89613">
      <w:pPr>
        <w:pStyle w:val="3"/>
        <w:bidi w:val="0"/>
        <w:rPr>
          <w:rFonts w:hint="default" w:eastAsia="微软雅黑"/>
          <w:lang w:val="en-US" w:eastAsia="zh-CN"/>
        </w:rPr>
      </w:pPr>
      <w:bookmarkStart w:id="0" w:name="_Toc13780"/>
      <w:r>
        <w:rPr>
          <w:rFonts w:hint="eastAsia"/>
        </w:rPr>
        <w:t xml:space="preserve">任务一  </w:t>
      </w:r>
      <w:bookmarkEnd w:id="0"/>
      <w:r>
        <w:rPr>
          <w:rFonts w:hint="eastAsia"/>
          <w:spacing w:val="2"/>
          <w:lang w:val="en-US" w:eastAsia="zh-CN"/>
        </w:rPr>
        <w:t>高压配电盘及高压配电认识</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5F58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5F944B81">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bookmarkStart w:id="1" w:name="_Hlk108699371"/>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11F4D53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3BA6DD5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0DA48901">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2D1B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6E99A7EA">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1AACDAC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任务一</w:t>
            </w:r>
            <w:r>
              <w:rPr>
                <w:rFonts w:hint="eastAsia" w:ascii="宋体" w:hAnsi="宋体" w:eastAsia="宋体" w:cs="宋体"/>
                <w:color w:val="000000" w:themeColor="text1"/>
                <w:sz w:val="21"/>
                <w:szCs w:val="21"/>
                <w:lang w:val="en-US" w:eastAsia="zh-CN"/>
                <w14:textFill>
                  <w14:solidFill>
                    <w14:schemeClr w14:val="tx1"/>
                  </w14:solidFill>
                </w14:textFill>
              </w:rPr>
              <w:t xml:space="preserve"> 高压配电盘及高压配电认识</w:t>
            </w:r>
          </w:p>
        </w:tc>
        <w:tc>
          <w:tcPr>
            <w:tcW w:w="735" w:type="pct"/>
            <w:shd w:val="clear" w:color="auto" w:fill="auto"/>
            <w:vAlign w:val="center"/>
          </w:tcPr>
          <w:p w14:paraId="26DC0565">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2518F57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2FE0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611711A">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71BBFB74">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3F4163B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0065073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7BE5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6497D438">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6413D098">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bookmarkEnd w:id="1"/>
      <w:tr w14:paraId="6CE8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57E857B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0F95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3" w:type="pct"/>
            <w:gridSpan w:val="2"/>
            <w:shd w:val="clear" w:color="auto" w:fill="auto"/>
            <w:vAlign w:val="center"/>
          </w:tcPr>
          <w:p w14:paraId="38994217">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676B62A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47D5701A">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3D43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4BB1FD40">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1.掌握</w:t>
            </w:r>
            <w:r>
              <w:rPr>
                <w:rFonts w:hint="eastAsia" w:ascii="宋体" w:hAnsi="宋体" w:eastAsia="宋体" w:cs="宋体"/>
                <w:sz w:val="21"/>
                <w:szCs w:val="21"/>
              </w:rPr>
              <w:t>电动汽车高压部件的组成</w:t>
            </w:r>
          </w:p>
          <w:p w14:paraId="483ACD9C">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2.掌握</w:t>
            </w:r>
            <w:r>
              <w:rPr>
                <w:rFonts w:hint="eastAsia" w:ascii="宋体" w:hAnsi="宋体" w:eastAsia="宋体" w:cs="宋体"/>
                <w:sz w:val="21"/>
                <w:szCs w:val="21"/>
              </w:rPr>
              <w:t>高压配电箱的结构</w:t>
            </w:r>
          </w:p>
          <w:p w14:paraId="4F92952D">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3.理解</w:t>
            </w:r>
            <w:r>
              <w:rPr>
                <w:rFonts w:hint="eastAsia" w:ascii="宋体" w:hAnsi="宋体" w:eastAsia="宋体" w:cs="宋体"/>
                <w:sz w:val="21"/>
                <w:szCs w:val="21"/>
              </w:rPr>
              <w:t>配电电缆的结构</w:t>
            </w:r>
          </w:p>
        </w:tc>
        <w:tc>
          <w:tcPr>
            <w:tcW w:w="1776" w:type="pct"/>
            <w:gridSpan w:val="3"/>
            <w:shd w:val="clear" w:color="auto" w:fill="auto"/>
            <w:vAlign w:val="center"/>
          </w:tcPr>
          <w:p w14:paraId="73FAEADF">
            <w:pPr>
              <w:numPr>
                <w:ilvl w:val="0"/>
                <w:numId w:val="0"/>
              </w:num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1.按照高压安全操作规范</w:t>
            </w:r>
            <w:r>
              <w:rPr>
                <w:rFonts w:hint="eastAsia" w:ascii="宋体" w:hAnsi="宋体" w:eastAsia="宋体" w:cs="宋体"/>
                <w:sz w:val="21"/>
                <w:szCs w:val="21"/>
              </w:rPr>
              <w:t>拆取高压连接器</w:t>
            </w:r>
          </w:p>
          <w:p w14:paraId="58EF04A3">
            <w:pPr>
              <w:numPr>
                <w:ilvl w:val="0"/>
                <w:numId w:val="0"/>
              </w:num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2.按照高压安全操作规范</w:t>
            </w:r>
            <w:r>
              <w:rPr>
                <w:rFonts w:hint="eastAsia" w:ascii="宋体" w:hAnsi="宋体" w:eastAsia="宋体" w:cs="宋体"/>
                <w:sz w:val="21"/>
                <w:szCs w:val="21"/>
              </w:rPr>
              <w:t>拆取</w:t>
            </w:r>
            <w:r>
              <w:rPr>
                <w:rFonts w:hint="eastAsia" w:ascii="宋体" w:hAnsi="宋体" w:eastAsia="宋体" w:cs="宋体"/>
                <w:sz w:val="21"/>
                <w:szCs w:val="21"/>
                <w:lang w:val="en-US" w:eastAsia="zh-CN"/>
              </w:rPr>
              <w:t>高压线束</w:t>
            </w:r>
          </w:p>
          <w:p w14:paraId="155FBE25">
            <w:pPr>
              <w:numPr>
                <w:ilvl w:val="0"/>
                <w:numId w:val="0"/>
              </w:num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3.按照高压安全更换高压保险丝</w:t>
            </w:r>
          </w:p>
        </w:tc>
        <w:tc>
          <w:tcPr>
            <w:tcW w:w="1680" w:type="pct"/>
            <w:shd w:val="clear" w:color="auto" w:fill="auto"/>
            <w:vAlign w:val="center"/>
          </w:tcPr>
          <w:p w14:paraId="16996016">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42503257">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1D4A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703AD37">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22E85CEC">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auto"/>
                <w:sz w:val="21"/>
                <w:szCs w:val="21"/>
                <w:lang w:val="en-US" w:eastAsia="zh-CN"/>
              </w:rPr>
              <w:t>蓄电池</w:t>
            </w:r>
            <w:r>
              <w:rPr>
                <w:rFonts w:hint="eastAsia" w:ascii="宋体" w:hAnsi="宋体" w:eastAsia="宋体" w:cs="宋体"/>
                <w:color w:val="auto"/>
                <w:sz w:val="21"/>
                <w:szCs w:val="21"/>
              </w:rPr>
              <w:t>的类型与特点</w:t>
            </w:r>
          </w:p>
          <w:p w14:paraId="46EF93D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auto"/>
                <w:sz w:val="21"/>
                <w:szCs w:val="21"/>
                <w:lang w:val="en-US" w:eastAsia="zh-CN"/>
              </w:rPr>
              <w:t>动力蓄电池模</w:t>
            </w:r>
            <w:r>
              <w:rPr>
                <w:rFonts w:hint="eastAsia" w:ascii="宋体" w:hAnsi="宋体" w:eastAsia="宋体" w:cs="宋体"/>
                <w:color w:val="auto"/>
                <w:sz w:val="21"/>
                <w:szCs w:val="21"/>
              </w:rPr>
              <w:t>组</w:t>
            </w:r>
            <w:r>
              <w:rPr>
                <w:rFonts w:hint="eastAsia" w:ascii="宋体" w:hAnsi="宋体" w:eastAsia="宋体" w:cs="宋体"/>
                <w:sz w:val="21"/>
                <w:szCs w:val="21"/>
              </w:rPr>
              <w:t>的结构</w:t>
            </w:r>
          </w:p>
        </w:tc>
      </w:tr>
      <w:tr w14:paraId="524B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232F9C23">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64B3CE4D">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2919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1F0025FE">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686596D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4B0F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25A448C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1D6F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4FD25F2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736FBE4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08F6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2F7A805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61AF8BE3">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sz w:val="21"/>
                <w:szCs w:val="21"/>
              </w:rPr>
              <w:t>电动汽车高压部件的组成</w:t>
            </w:r>
          </w:p>
          <w:p w14:paraId="72431486">
            <w:pPr>
              <w:spacing w:line="360" w:lineRule="auto"/>
              <w:rPr>
                <w:rFonts w:hint="eastAsia" w:ascii="宋体" w:hAnsi="宋体" w:eastAsia="宋体" w:cs="宋体"/>
                <w:kern w:val="2"/>
                <w:sz w:val="21"/>
                <w:szCs w:val="21"/>
                <w:lang w:bidi="ar-SA"/>
              </w:rPr>
            </w:pPr>
            <w:r>
              <w:rPr>
                <w:rFonts w:hint="eastAsia" w:ascii="宋体" w:hAnsi="宋体" w:eastAsia="宋体" w:cs="宋体"/>
                <w:kern w:val="2"/>
                <w:sz w:val="21"/>
                <w:szCs w:val="21"/>
                <w:lang w:bidi="ar-SA"/>
              </w:rPr>
              <w:t>电动汽车高压部件包括动力电池、驱动电机、高压配电箱（PDU）、电机控制器、车载充电机（OBC）、电动压缩机、DC-DC转换器、PTC加热器和高压线缆等。</w:t>
            </w:r>
          </w:p>
          <w:p w14:paraId="37F9B9EA">
            <w:pPr>
              <w:numPr>
                <w:ilvl w:val="0"/>
                <w:numId w:val="1"/>
              </w:num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bidi="ar-SA"/>
              </w:rPr>
              <w:t>动力蓄电池</w:t>
            </w:r>
            <w:r>
              <w:rPr>
                <w:rFonts w:hint="eastAsia" w:ascii="宋体" w:hAnsi="宋体" w:eastAsia="宋体" w:cs="宋体"/>
                <w:kern w:val="2"/>
                <w:sz w:val="21"/>
                <w:szCs w:val="21"/>
                <w:lang w:val="en-US" w:eastAsia="zh-CN" w:bidi="ar-SA"/>
              </w:rPr>
              <w:t xml:space="preserve"> </w:t>
            </w:r>
          </w:p>
          <w:p w14:paraId="6F4E2F97">
            <w:pPr>
              <w:numPr>
                <w:ilvl w:val="0"/>
                <w:numId w:val="0"/>
              </w:numPr>
              <w:spacing w:line="360" w:lineRule="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kern w:val="2"/>
                <w:sz w:val="21"/>
                <w:szCs w:val="21"/>
                <w:lang w:val="en-US" w:eastAsia="zh-CN" w:bidi="ar-SA"/>
              </w:rPr>
              <w:t>作用：</w:t>
            </w:r>
            <w:r>
              <w:rPr>
                <w:rFonts w:hint="eastAsia" w:ascii="宋体" w:hAnsi="宋体" w:eastAsia="宋体" w:cs="宋体"/>
                <w:color w:val="000000" w:themeColor="text1"/>
                <w:kern w:val="2"/>
                <w:sz w:val="21"/>
                <w:szCs w:val="21"/>
                <w:lang w:bidi="ar-SA"/>
                <w14:textFill>
                  <w14:solidFill>
                    <w14:schemeClr w14:val="tx1"/>
                  </w14:solidFill>
                </w14:textFill>
              </w:rPr>
              <w:t>存储和提供车辆运行所需的电能</w:t>
            </w:r>
            <w:r>
              <w:rPr>
                <w:rFonts w:hint="eastAsia" w:ascii="宋体" w:hAnsi="宋体" w:eastAsia="宋体" w:cs="宋体"/>
                <w:color w:val="000000" w:themeColor="text1"/>
                <w:kern w:val="2"/>
                <w:sz w:val="21"/>
                <w:szCs w:val="21"/>
                <w:lang w:eastAsia="zh-CN" w:bidi="ar-SA"/>
                <w14:textFill>
                  <w14:solidFill>
                    <w14:schemeClr w14:val="tx1"/>
                  </w14:solidFill>
                </w14:textFill>
              </w:rPr>
              <w:t>，</w:t>
            </w:r>
            <w:r>
              <w:rPr>
                <w:rFonts w:hint="eastAsia" w:ascii="宋体" w:hAnsi="宋体" w:eastAsia="宋体" w:cs="宋体"/>
                <w:color w:val="000000" w:themeColor="text1"/>
                <w:kern w:val="2"/>
                <w:sz w:val="21"/>
                <w:szCs w:val="21"/>
                <w:lang w:bidi="ar-SA"/>
                <w14:textFill>
                  <w14:solidFill>
                    <w14:schemeClr w14:val="tx1"/>
                  </w14:solidFill>
                </w14:textFill>
              </w:rPr>
              <w:t>与传统燃油车上的燃油箱相当</w:t>
            </w:r>
            <w:r>
              <w:rPr>
                <w:rFonts w:hint="eastAsia" w:ascii="宋体" w:hAnsi="宋体" w:eastAsia="宋体" w:cs="宋体"/>
                <w:color w:val="000000" w:themeColor="text1"/>
                <w:kern w:val="2"/>
                <w:sz w:val="21"/>
                <w:szCs w:val="21"/>
                <w:lang w:eastAsia="zh-CN" w:bidi="ar-SA"/>
                <w14:textFill>
                  <w14:solidFill>
                    <w14:schemeClr w14:val="tx1"/>
                  </w14:solidFill>
                </w14:textFill>
              </w:rPr>
              <w:t>。确保车辆能够继续正常运行</w:t>
            </w:r>
            <w:r>
              <w:rPr>
                <w:rFonts w:hint="eastAsia" w:ascii="宋体" w:hAnsi="宋体" w:eastAsia="宋体" w:cs="宋体"/>
                <w:color w:val="000000" w:themeColor="text1"/>
                <w:kern w:val="2"/>
                <w:sz w:val="21"/>
                <w:szCs w:val="21"/>
                <w:lang w:val="en-US" w:eastAsia="zh-CN" w:bidi="ar-SA"/>
                <w14:textFill>
                  <w14:solidFill>
                    <w14:schemeClr w14:val="tx1"/>
                  </w14:solidFill>
                </w14:textFill>
              </w:rPr>
              <w:t>电能。</w:t>
            </w:r>
          </w:p>
          <w:p w14:paraId="11FB2476">
            <w:pPr>
              <w:numPr>
                <w:ilvl w:val="0"/>
                <w:numId w:val="0"/>
              </w:numPr>
              <w:spacing w:line="36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sz w:val="21"/>
                <w:szCs w:val="21"/>
              </w:rPr>
              <w:drawing>
                <wp:inline distT="0" distB="0" distL="114300" distR="114300">
                  <wp:extent cx="4568190" cy="2983230"/>
                  <wp:effectExtent l="0" t="0" r="381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l="8717" r="14709"/>
                          <a:stretch>
                            <a:fillRect/>
                          </a:stretch>
                        </pic:blipFill>
                        <pic:spPr>
                          <a:xfrm>
                            <a:off x="0" y="0"/>
                            <a:ext cx="4568190" cy="2983230"/>
                          </a:xfrm>
                          <a:prstGeom prst="rect">
                            <a:avLst/>
                          </a:prstGeom>
                          <a:noFill/>
                          <a:ln>
                            <a:noFill/>
                          </a:ln>
                        </pic:spPr>
                      </pic:pic>
                    </a:graphicData>
                  </a:graphic>
                </wp:inline>
              </w:drawing>
            </w:r>
          </w:p>
          <w:p w14:paraId="7F294649">
            <w:pPr>
              <w:numPr>
                <w:ilvl w:val="0"/>
                <w:numId w:val="1"/>
              </w:num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车载充电机OBC</w:t>
            </w:r>
          </w:p>
          <w:p w14:paraId="1DCF4D75">
            <w:pPr>
              <w:numPr>
                <w:ilvl w:val="0"/>
                <w:numId w:val="0"/>
              </w:numPr>
              <w:spacing w:line="360" w:lineRule="auto"/>
              <w:rPr>
                <w:rFonts w:hint="eastAsia" w:ascii="宋体" w:hAnsi="宋体" w:eastAsia="宋体" w:cs="宋体"/>
                <w:color w:val="000000" w:themeColor="text1"/>
                <w:kern w:val="2"/>
                <w:sz w:val="21"/>
                <w:szCs w:val="21"/>
                <w:lang w:bidi="ar-SA"/>
                <w14:textFill>
                  <w14:solidFill>
                    <w14:schemeClr w14:val="tx1"/>
                  </w14:solidFill>
                </w14:textFill>
              </w:rPr>
            </w:pPr>
            <w:r>
              <w:rPr>
                <w:rFonts w:hint="eastAsia" w:ascii="宋体" w:hAnsi="宋体" w:eastAsia="宋体" w:cs="宋体"/>
                <w:kern w:val="2"/>
                <w:sz w:val="21"/>
                <w:szCs w:val="21"/>
                <w:lang w:val="en-US" w:eastAsia="zh-CN" w:bidi="ar-SA"/>
              </w:rPr>
              <w:t>作用：</w:t>
            </w:r>
            <w:r>
              <w:rPr>
                <w:rFonts w:hint="eastAsia" w:ascii="宋体" w:hAnsi="宋体" w:eastAsia="宋体" w:cs="宋体"/>
                <w:color w:val="000000" w:themeColor="text1"/>
                <w:kern w:val="2"/>
                <w:sz w:val="21"/>
                <w:szCs w:val="21"/>
                <w:lang w:bidi="ar-SA"/>
                <w14:textFill>
                  <w14:solidFill>
                    <w14:schemeClr w14:val="tx1"/>
                  </w14:solidFill>
                </w14:textFill>
              </w:rPr>
              <w:t>补充</w:t>
            </w:r>
            <w:r>
              <w:rPr>
                <w:rFonts w:hint="eastAsia" w:ascii="宋体" w:hAnsi="宋体" w:eastAsia="宋体" w:cs="宋体"/>
                <w:color w:val="000000" w:themeColor="text1"/>
                <w:kern w:val="2"/>
                <w:sz w:val="21"/>
                <w:szCs w:val="21"/>
                <w:lang w:val="en-US" w:eastAsia="zh-CN" w:bidi="ar-SA"/>
                <w14:textFill>
                  <w14:solidFill>
                    <w14:schemeClr w14:val="tx1"/>
                  </w14:solidFill>
                </w14:textFill>
              </w:rPr>
              <w:t>动力蓄电池</w:t>
            </w:r>
            <w:r>
              <w:rPr>
                <w:rFonts w:hint="eastAsia" w:ascii="宋体" w:hAnsi="宋体" w:eastAsia="宋体" w:cs="宋体"/>
                <w:color w:val="000000" w:themeColor="text1"/>
                <w:kern w:val="2"/>
                <w:sz w:val="21"/>
                <w:szCs w:val="21"/>
                <w:lang w:bidi="ar-SA"/>
                <w14:textFill>
                  <w14:solidFill>
                    <w14:schemeClr w14:val="tx1"/>
                  </w14:solidFill>
                </w14:textFill>
              </w:rPr>
              <w:t>能量</w:t>
            </w:r>
            <w:r>
              <w:rPr>
                <w:rFonts w:hint="eastAsia" w:ascii="宋体" w:hAnsi="宋体" w:eastAsia="宋体" w:cs="宋体"/>
                <w:color w:val="000000" w:themeColor="text1"/>
                <w:kern w:val="2"/>
                <w:sz w:val="21"/>
                <w:szCs w:val="21"/>
                <w:lang w:eastAsia="zh-CN" w:bidi="ar-SA"/>
                <w14:textFill>
                  <w14:solidFill>
                    <w14:schemeClr w14:val="tx1"/>
                  </w14:solidFill>
                </w14:textFill>
              </w:rPr>
              <w:t>，</w:t>
            </w:r>
            <w:r>
              <w:rPr>
                <w:rFonts w:hint="eastAsia" w:ascii="宋体" w:hAnsi="宋体" w:eastAsia="宋体" w:cs="宋体"/>
                <w:color w:val="000000" w:themeColor="text1"/>
                <w:kern w:val="2"/>
                <w:sz w:val="21"/>
                <w:szCs w:val="21"/>
                <w:lang w:bidi="ar-SA"/>
                <w14:textFill>
                  <w14:solidFill>
                    <w14:schemeClr w14:val="tx1"/>
                  </w14:solidFill>
                </w14:textFill>
              </w:rPr>
              <w:t>负责将外部电源的电能转换并传输给电动汽车的动力蓄电池</w:t>
            </w:r>
            <w:r>
              <w:rPr>
                <w:rFonts w:hint="eastAsia" w:ascii="宋体" w:hAnsi="宋体" w:eastAsia="宋体" w:cs="宋体"/>
                <w:color w:val="000000" w:themeColor="text1"/>
                <w:kern w:val="2"/>
                <w:sz w:val="21"/>
                <w:szCs w:val="21"/>
                <w:lang w:eastAsia="zh-CN" w:bidi="ar-SA"/>
                <w14:textFill>
                  <w14:solidFill>
                    <w14:schemeClr w14:val="tx1"/>
                  </w14:solidFill>
                </w14:textFill>
              </w:rPr>
              <w:t>，</w:t>
            </w:r>
            <w:r>
              <w:rPr>
                <w:rFonts w:hint="eastAsia" w:ascii="宋体" w:hAnsi="宋体" w:eastAsia="宋体" w:cs="宋体"/>
                <w:color w:val="000000" w:themeColor="text1"/>
                <w:kern w:val="2"/>
                <w:sz w:val="21"/>
                <w:szCs w:val="21"/>
                <w:lang w:bidi="ar-SA"/>
                <w14:textFill>
                  <w14:solidFill>
                    <w14:schemeClr w14:val="tx1"/>
                  </w14:solidFill>
                </w14:textFill>
              </w:rPr>
              <w:t>确保车辆能够持续运行。</w:t>
            </w:r>
          </w:p>
          <w:p w14:paraId="08EEFEEC">
            <w:pPr>
              <w:numPr>
                <w:ilvl w:val="0"/>
                <w:numId w:val="0"/>
              </w:numPr>
              <w:spacing w:line="360"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sz w:val="21"/>
                <w:szCs w:val="21"/>
              </w:rPr>
              <w:drawing>
                <wp:inline distT="0" distB="0" distL="114300" distR="114300">
                  <wp:extent cx="4265930" cy="2755265"/>
                  <wp:effectExtent l="0" t="0" r="1270" b="698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6"/>
                          <a:srcRect l="12924"/>
                          <a:stretch>
                            <a:fillRect/>
                          </a:stretch>
                        </pic:blipFill>
                        <pic:spPr>
                          <a:xfrm>
                            <a:off x="0" y="0"/>
                            <a:ext cx="4265930" cy="2755265"/>
                          </a:xfrm>
                          <a:prstGeom prst="rect">
                            <a:avLst/>
                          </a:prstGeom>
                          <a:noFill/>
                          <a:ln w="9525">
                            <a:noFill/>
                          </a:ln>
                        </pic:spPr>
                      </pic:pic>
                    </a:graphicData>
                  </a:graphic>
                </wp:inline>
              </w:drawing>
            </w:r>
          </w:p>
          <w:p w14:paraId="7523C52D">
            <w:pPr>
              <w:numPr>
                <w:ilvl w:val="0"/>
                <w:numId w:val="1"/>
              </w:num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电机控制器（MCU）</w:t>
            </w:r>
          </w:p>
          <w:p w14:paraId="63BAD6FA">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kern w:val="2"/>
                <w:sz w:val="21"/>
                <w:szCs w:val="21"/>
                <w:lang w:val="en-US" w:eastAsia="zh-CN" w:bidi="ar-SA"/>
              </w:rPr>
              <w:t>作用：</w:t>
            </w:r>
            <w:r>
              <w:rPr>
                <w:rFonts w:hint="eastAsia" w:ascii="宋体" w:hAnsi="宋体" w:eastAsia="宋体" w:cs="宋体"/>
                <w:color w:val="000000" w:themeColor="text1"/>
                <w:sz w:val="21"/>
                <w:szCs w:val="21"/>
                <w14:textFill>
                  <w14:solidFill>
                    <w14:schemeClr w14:val="tx1"/>
                  </w14:solidFill>
                </w14:textFill>
              </w:rPr>
              <w:t>将高压直流电转为交流电，并与整车上其他模块进行信号交互，实现对驱动电机的转速、转动方向等进行有效控制。</w:t>
            </w:r>
          </w:p>
          <w:p w14:paraId="0EDC2E09">
            <w:pPr>
              <w:spacing w:line="360" w:lineRule="auto"/>
              <w:ind w:firstLine="42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drawing>
                <wp:inline distT="0" distB="0" distL="114300" distR="114300">
                  <wp:extent cx="5054600" cy="3336925"/>
                  <wp:effectExtent l="0" t="0" r="12700" b="15875"/>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7"/>
                          <a:srcRect l="16775" t="15266" r="18056" b="15884"/>
                          <a:stretch>
                            <a:fillRect/>
                          </a:stretch>
                        </pic:blipFill>
                        <pic:spPr>
                          <a:xfrm>
                            <a:off x="0" y="0"/>
                            <a:ext cx="5054600" cy="3336925"/>
                          </a:xfrm>
                          <a:prstGeom prst="rect">
                            <a:avLst/>
                          </a:prstGeom>
                          <a:noFill/>
                          <a:ln w="9525">
                            <a:noFill/>
                          </a:ln>
                        </pic:spPr>
                      </pic:pic>
                    </a:graphicData>
                  </a:graphic>
                </wp:inline>
              </w:drawing>
            </w:r>
          </w:p>
          <w:p w14:paraId="62DBCA5B">
            <w:pPr>
              <w:numPr>
                <w:ilvl w:val="0"/>
                <w:numId w:val="1"/>
              </w:num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DC/DC</w:t>
            </w:r>
          </w:p>
          <w:p w14:paraId="7C732CE6">
            <w:pPr>
              <w:numPr>
                <w:ilvl w:val="0"/>
                <w:numId w:val="0"/>
              </w:numPr>
              <w:spacing w:line="360" w:lineRule="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kern w:val="2"/>
                <w:sz w:val="21"/>
                <w:szCs w:val="21"/>
                <w:lang w:val="en-US" w:eastAsia="zh-CN" w:bidi="ar-SA"/>
              </w:rPr>
              <w:t>作用：</w:t>
            </w:r>
            <w:r>
              <w:rPr>
                <w:rFonts w:hint="eastAsia" w:ascii="宋体" w:hAnsi="宋体" w:eastAsia="宋体" w:cs="宋体"/>
                <w:color w:val="000000" w:themeColor="text1"/>
                <w:kern w:val="2"/>
                <w:sz w:val="21"/>
                <w:szCs w:val="21"/>
                <w:lang w:bidi="ar-SA"/>
                <w14:textFill>
                  <w14:solidFill>
                    <w14:schemeClr w14:val="tx1"/>
                  </w14:solidFill>
                </w14:textFill>
              </w:rPr>
              <w:t>负责将高压直流电转换为低压直流电</w:t>
            </w:r>
            <w:r>
              <w:rPr>
                <w:rFonts w:hint="eastAsia" w:ascii="宋体" w:hAnsi="宋体" w:eastAsia="宋体" w:cs="宋体"/>
                <w:color w:val="000000" w:themeColor="text1"/>
                <w:kern w:val="2"/>
                <w:sz w:val="21"/>
                <w:szCs w:val="21"/>
                <w:lang w:eastAsia="zh-CN" w:bidi="ar-SA"/>
                <w14:textFill>
                  <w14:solidFill>
                    <w14:schemeClr w14:val="tx1"/>
                  </w14:solidFill>
                </w14:textFill>
              </w:rPr>
              <w:t>，</w:t>
            </w:r>
            <w:r>
              <w:rPr>
                <w:rFonts w:hint="eastAsia" w:ascii="宋体" w:hAnsi="宋体" w:eastAsia="宋体" w:cs="宋体"/>
                <w:color w:val="000000" w:themeColor="text1"/>
                <w:kern w:val="2"/>
                <w:sz w:val="21"/>
                <w:szCs w:val="21"/>
                <w:lang w:val="en-US" w:eastAsia="zh-CN" w:bidi="ar-SA"/>
                <w14:textFill>
                  <w14:solidFill>
                    <w14:schemeClr w14:val="tx1"/>
                  </w14:solidFill>
                </w14:textFill>
              </w:rPr>
              <w:t>给抵押蓄电池充电盒车辆运行时给全车低压用电器供电。</w:t>
            </w:r>
          </w:p>
          <w:p w14:paraId="51FE2A5F">
            <w:pPr>
              <w:numPr>
                <w:ilvl w:val="0"/>
                <w:numId w:val="0"/>
              </w:numPr>
              <w:spacing w:line="36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972685" cy="3356610"/>
                  <wp:effectExtent l="0" t="0" r="18415" b="15240"/>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8"/>
                          <a:stretch>
                            <a:fillRect/>
                          </a:stretch>
                        </pic:blipFill>
                        <pic:spPr>
                          <a:xfrm>
                            <a:off x="0" y="0"/>
                            <a:ext cx="4972685" cy="3356610"/>
                          </a:xfrm>
                          <a:prstGeom prst="rect">
                            <a:avLst/>
                          </a:prstGeom>
                          <a:noFill/>
                          <a:ln w="9525">
                            <a:noFill/>
                          </a:ln>
                        </pic:spPr>
                      </pic:pic>
                    </a:graphicData>
                  </a:graphic>
                </wp:inline>
              </w:drawing>
            </w:r>
          </w:p>
          <w:p w14:paraId="7F4E7E6A">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随着汽车制造的发展，电子采取集成化，OBC、DC/DC常和电机控制器集成于一体。</w:t>
            </w:r>
          </w:p>
          <w:p w14:paraId="1113B21C">
            <w:pPr>
              <w:numPr>
                <w:ilvl w:val="0"/>
                <w:numId w:val="1"/>
              </w:num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color w:val="000000" w:themeColor="text1"/>
                <w:sz w:val="21"/>
                <w:szCs w:val="21"/>
                <w14:textFill>
                  <w14:solidFill>
                    <w14:schemeClr w14:val="tx1"/>
                  </w14:solidFill>
                </w14:textFill>
              </w:rPr>
              <w:t>电动压缩机</w:t>
            </w:r>
          </w:p>
          <w:p w14:paraId="67DA04F6">
            <w:pPr>
              <w:numPr>
                <w:ilvl w:val="0"/>
                <w:numId w:val="0"/>
              </w:num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color w:val="000000" w:themeColor="text1"/>
                <w:sz w:val="21"/>
                <w:szCs w:val="21"/>
                <w:lang w:val="en-US" w:eastAsia="zh-CN"/>
                <w14:textFill>
                  <w14:solidFill>
                    <w14:schemeClr w14:val="tx1"/>
                  </w14:solidFill>
                </w14:textFill>
              </w:rPr>
              <w:t>作用：空调制冷的核心部件。</w:t>
            </w:r>
            <w:r>
              <w:rPr>
                <w:rFonts w:hint="eastAsia" w:ascii="宋体" w:hAnsi="宋体" w:eastAsia="宋体" w:cs="宋体"/>
                <w:color w:val="000000" w:themeColor="text1"/>
                <w:sz w:val="21"/>
                <w:szCs w:val="21"/>
                <w14:textFill>
                  <w14:solidFill>
                    <w14:schemeClr w14:val="tx1"/>
                  </w14:solidFill>
                </w14:textFill>
              </w:rPr>
              <w:t>其将控制器、电机、压缩装置集成在一起，称为电动压缩机</w:t>
            </w:r>
            <w:r>
              <w:rPr>
                <w:rFonts w:hint="eastAsia" w:ascii="宋体" w:hAnsi="宋体" w:eastAsia="宋体" w:cs="宋体"/>
                <w:color w:val="000000" w:themeColor="text1"/>
                <w:sz w:val="21"/>
                <w:szCs w:val="21"/>
                <w:lang w:eastAsia="zh-CN"/>
                <w14:textFill>
                  <w14:solidFill>
                    <w14:schemeClr w14:val="tx1"/>
                  </w14:solidFill>
                </w14:textFill>
              </w:rPr>
              <w:t>。</w:t>
            </w:r>
          </w:p>
          <w:p w14:paraId="5B167D23">
            <w:pPr>
              <w:numPr>
                <w:ilvl w:val="0"/>
                <w:numId w:val="1"/>
              </w:num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color w:val="000000" w:themeColor="text1"/>
                <w:sz w:val="21"/>
                <w:szCs w:val="21"/>
                <w14:textFill>
                  <w14:solidFill>
                    <w14:schemeClr w14:val="tx1"/>
                  </w14:solidFill>
                </w14:textFill>
              </w:rPr>
              <w:t>PTC加热器</w:t>
            </w:r>
          </w:p>
          <w:p w14:paraId="16F818EE">
            <w:pPr>
              <w:numPr>
                <w:ilvl w:val="0"/>
                <w:numId w:val="0"/>
              </w:num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color w:val="000000" w:themeColor="text1"/>
                <w:sz w:val="21"/>
                <w:szCs w:val="21"/>
                <w:lang w:val="en-US" w:eastAsia="zh-CN"/>
                <w14:textFill>
                  <w14:solidFill>
                    <w14:schemeClr w14:val="tx1"/>
                  </w14:solidFill>
                </w14:textFill>
              </w:rPr>
              <w:t>作用：空调制暖系统的核心部件。电子电热部件。</w:t>
            </w:r>
          </w:p>
          <w:p w14:paraId="7C5AD46F">
            <w:pPr>
              <w:pStyle w:val="4"/>
              <w:bidi w:val="0"/>
              <w:spacing w:line="360" w:lineRule="auto"/>
              <w:rPr>
                <w:rFonts w:hint="eastAsia" w:ascii="宋体" w:hAnsi="宋体" w:eastAsia="宋体" w:cs="宋体"/>
                <w:b w:val="0"/>
                <w:bCs/>
                <w:sz w:val="21"/>
                <w:szCs w:val="21"/>
                <w:lang w:val="en-US" w:eastAsia="zh-CN"/>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sz w:val="21"/>
                <w:szCs w:val="21"/>
              </w:rPr>
              <w:t>高压</w:t>
            </w:r>
            <w:r>
              <w:rPr>
                <w:rFonts w:hint="eastAsia" w:ascii="宋体" w:hAnsi="宋体" w:eastAsia="宋体" w:cs="宋体"/>
                <w:b w:val="0"/>
                <w:bCs/>
                <w:sz w:val="21"/>
                <w:szCs w:val="21"/>
                <w:lang w:val="en-US" w:eastAsia="zh-CN"/>
              </w:rPr>
              <w:t>配电（PDU）</w:t>
            </w:r>
          </w:p>
          <w:p w14:paraId="1DACB715">
            <w:pPr>
              <w:numPr>
                <w:ilvl w:val="0"/>
                <w:numId w:val="0"/>
              </w:num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汽车上电，动力电池高压电进入</w:t>
            </w:r>
            <w:r>
              <w:rPr>
                <w:rFonts w:hint="eastAsia" w:ascii="宋体" w:hAnsi="宋体" w:eastAsia="宋体" w:cs="宋体"/>
                <w:sz w:val="21"/>
                <w:szCs w:val="21"/>
              </w:rPr>
              <w:t>高压配电</w:t>
            </w:r>
            <w:r>
              <w:rPr>
                <w:rFonts w:hint="eastAsia" w:ascii="宋体" w:hAnsi="宋体" w:eastAsia="宋体" w:cs="宋体"/>
                <w:strike w:val="0"/>
                <w:color w:val="auto"/>
                <w:sz w:val="21"/>
                <w:szCs w:val="21"/>
                <w:lang w:val="en-US" w:eastAsia="zh-CN"/>
              </w:rPr>
              <w:t>盒</w:t>
            </w:r>
            <w:r>
              <w:rPr>
                <w:rFonts w:hint="eastAsia" w:ascii="宋体" w:hAnsi="宋体" w:eastAsia="宋体" w:cs="宋体"/>
                <w:sz w:val="21"/>
                <w:szCs w:val="21"/>
              </w:rPr>
              <w:t>（PDU）</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然后高压配电盒根据驾驶员指令，对高压电进行分配给需要的系统。</w:t>
            </w:r>
          </w:p>
          <w:p w14:paraId="5F4F2F97">
            <w:pPr>
              <w:numPr>
                <w:ilvl w:val="0"/>
                <w:numId w:val="0"/>
              </w:num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drawing>
                <wp:inline distT="0" distB="0" distL="114300" distR="114300">
                  <wp:extent cx="5080000" cy="2987675"/>
                  <wp:effectExtent l="0" t="0" r="6350" b="3175"/>
                  <wp:docPr id="18" name="图片 1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3"/>
                          <pic:cNvPicPr>
                            <a:picLocks noChangeAspect="1"/>
                          </pic:cNvPicPr>
                        </pic:nvPicPr>
                        <pic:blipFill>
                          <a:blip r:embed="rId9"/>
                          <a:stretch>
                            <a:fillRect/>
                          </a:stretch>
                        </pic:blipFill>
                        <pic:spPr>
                          <a:xfrm>
                            <a:off x="0" y="0"/>
                            <a:ext cx="5080000" cy="2987675"/>
                          </a:xfrm>
                          <a:prstGeom prst="rect">
                            <a:avLst/>
                          </a:prstGeom>
                        </pic:spPr>
                      </pic:pic>
                    </a:graphicData>
                  </a:graphic>
                </wp:inline>
              </w:drawing>
            </w:r>
          </w:p>
          <w:p w14:paraId="74D7B48C">
            <w:pPr>
              <w:numPr>
                <w:ilvl w:val="0"/>
                <w:numId w:val="0"/>
              </w:numPr>
              <w:bidi w:val="0"/>
              <w:spacing w:line="360" w:lineRule="auto"/>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作用：高压电源分配，</w:t>
            </w:r>
            <w:r>
              <w:rPr>
                <w:rFonts w:hint="eastAsia" w:ascii="宋体" w:hAnsi="宋体" w:eastAsia="宋体" w:cs="宋体"/>
                <w:color w:val="auto"/>
                <w:sz w:val="21"/>
                <w:szCs w:val="21"/>
              </w:rPr>
              <w:t>由一些高压</w:t>
            </w:r>
            <w:r>
              <w:rPr>
                <w:rFonts w:hint="eastAsia" w:ascii="宋体" w:hAnsi="宋体" w:eastAsia="宋体" w:cs="宋体"/>
                <w:strike w:val="0"/>
                <w:dstrike w:val="0"/>
                <w:color w:val="auto"/>
                <w:sz w:val="21"/>
                <w:szCs w:val="21"/>
                <w:lang w:val="en-US" w:eastAsia="zh-CN"/>
              </w:rPr>
              <w:t>接触</w:t>
            </w:r>
            <w:r>
              <w:rPr>
                <w:rFonts w:hint="eastAsia" w:ascii="宋体" w:hAnsi="宋体" w:eastAsia="宋体" w:cs="宋体"/>
                <w:color w:val="auto"/>
                <w:sz w:val="21"/>
                <w:szCs w:val="21"/>
              </w:rPr>
              <w:t>器，</w:t>
            </w:r>
            <w:r>
              <w:rPr>
                <w:rFonts w:hint="eastAsia" w:ascii="宋体" w:hAnsi="宋体" w:eastAsia="宋体" w:cs="宋体"/>
                <w:color w:val="000000" w:themeColor="text1"/>
                <w:sz w:val="21"/>
                <w:szCs w:val="21"/>
                <w14:textFill>
                  <w14:solidFill>
                    <w14:schemeClr w14:val="tx1"/>
                  </w14:solidFill>
                </w14:textFill>
              </w:rPr>
              <w:t>高压保险丝以及高压铜排组成</w:t>
            </w:r>
            <w:r>
              <w:rPr>
                <w:rFonts w:hint="eastAsia" w:ascii="宋体" w:hAnsi="宋体" w:eastAsia="宋体" w:cs="宋体"/>
                <w:color w:val="000000" w:themeColor="text1"/>
                <w:sz w:val="21"/>
                <w:szCs w:val="21"/>
                <w:lang w:eastAsia="zh-CN"/>
                <w14:textFill>
                  <w14:solidFill>
                    <w14:schemeClr w14:val="tx1"/>
                  </w14:solidFill>
                </w14:textFill>
              </w:rPr>
              <w:t>。</w:t>
            </w:r>
          </w:p>
          <w:p w14:paraId="33F0973D">
            <w:pPr>
              <w:numPr>
                <w:ilvl w:val="0"/>
                <w:numId w:val="0"/>
              </w:num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160645" cy="2821940"/>
                  <wp:effectExtent l="0" t="0" r="1905" b="1651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0"/>
                          <a:srcRect l="11933" t="16282" r="10505" b="27191"/>
                          <a:stretch>
                            <a:fillRect/>
                          </a:stretch>
                        </pic:blipFill>
                        <pic:spPr>
                          <a:xfrm>
                            <a:off x="0" y="0"/>
                            <a:ext cx="5160645" cy="2821940"/>
                          </a:xfrm>
                          <a:prstGeom prst="rect">
                            <a:avLst/>
                          </a:prstGeom>
                          <a:noFill/>
                          <a:ln>
                            <a:noFill/>
                          </a:ln>
                        </pic:spPr>
                      </pic:pic>
                    </a:graphicData>
                  </a:graphic>
                </wp:inline>
              </w:drawing>
            </w:r>
          </w:p>
          <w:p w14:paraId="17672363">
            <w:pPr>
              <w:numPr>
                <w:ilvl w:val="0"/>
                <w:numId w:val="2"/>
              </w:numPr>
              <w:bidi w:val="0"/>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高压电缆</w:t>
            </w:r>
          </w:p>
          <w:p w14:paraId="5CF8B098">
            <w:pPr>
              <w:numPr>
                <w:ilvl w:val="0"/>
                <w:numId w:val="0"/>
              </w:numPr>
              <w:bidi w:val="0"/>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结构组成</w:t>
            </w:r>
          </w:p>
          <w:p w14:paraId="1A81DA6B">
            <w:pPr>
              <w:numPr>
                <w:ilvl w:val="0"/>
                <w:numId w:val="0"/>
              </w:num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158105" cy="3834130"/>
                  <wp:effectExtent l="0" t="0" r="4445" b="1397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1"/>
                          <a:srcRect b="9257"/>
                          <a:stretch>
                            <a:fillRect/>
                          </a:stretch>
                        </pic:blipFill>
                        <pic:spPr>
                          <a:xfrm>
                            <a:off x="0" y="0"/>
                            <a:ext cx="5158105" cy="3834130"/>
                          </a:xfrm>
                          <a:prstGeom prst="rect">
                            <a:avLst/>
                          </a:prstGeom>
                          <a:noFill/>
                          <a:ln>
                            <a:noFill/>
                          </a:ln>
                        </pic:spPr>
                      </pic:pic>
                    </a:graphicData>
                  </a:graphic>
                </wp:inline>
              </w:drawing>
            </w:r>
          </w:p>
          <w:p w14:paraId="6065879F">
            <w:pPr>
              <w:numPr>
                <w:ilvl w:val="0"/>
                <w:numId w:val="0"/>
              </w:numPr>
              <w:bidi w:val="0"/>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任务实施</w:t>
            </w:r>
          </w:p>
          <w:p w14:paraId="4DD7FB78">
            <w:pPr>
              <w:numPr>
                <w:ilvl w:val="0"/>
                <w:numId w:val="3"/>
              </w:numPr>
              <w:bidi w:val="0"/>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高压插接器的拆装</w:t>
            </w:r>
          </w:p>
          <w:p w14:paraId="445E9C5F">
            <w:pPr>
              <w:numPr>
                <w:ilvl w:val="0"/>
                <w:numId w:val="0"/>
              </w:num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drawing>
                <wp:inline distT="0" distB="0" distL="114300" distR="114300">
                  <wp:extent cx="3436620" cy="3392805"/>
                  <wp:effectExtent l="0" t="0" r="11430" b="17145"/>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12"/>
                          <a:stretch>
                            <a:fillRect/>
                          </a:stretch>
                        </pic:blipFill>
                        <pic:spPr>
                          <a:xfrm>
                            <a:off x="0" y="0"/>
                            <a:ext cx="3436620" cy="3392805"/>
                          </a:xfrm>
                          <a:prstGeom prst="rect">
                            <a:avLst/>
                          </a:prstGeom>
                        </pic:spPr>
                      </pic:pic>
                    </a:graphicData>
                  </a:graphic>
                </wp:inline>
              </w:drawing>
            </w:r>
          </w:p>
          <w:p w14:paraId="28DCD1AA">
            <w:pPr>
              <w:numPr>
                <w:ilvl w:val="0"/>
                <w:numId w:val="0"/>
              </w:numPr>
              <w:bidi w:val="0"/>
              <w:spacing w:line="360" w:lineRule="auto"/>
              <w:jc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lang w:val="en-US"/>
                <w14:textFill>
                  <w14:solidFill>
                    <w14:schemeClr w14:val="tx1"/>
                  </w14:solidFill>
                </w14:textFill>
              </w:rPr>
              <w:drawing>
                <wp:inline distT="0" distB="0" distL="114300" distR="114300">
                  <wp:extent cx="5030470" cy="3074670"/>
                  <wp:effectExtent l="0" t="0" r="17780" b="11430"/>
                  <wp:docPr id="9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pic:cNvPicPr>
                            <a:picLocks noChangeAspect="1"/>
                          </pic:cNvPicPr>
                        </pic:nvPicPr>
                        <pic:blipFill>
                          <a:blip r:embed="rId13"/>
                          <a:stretch>
                            <a:fillRect/>
                          </a:stretch>
                        </pic:blipFill>
                        <pic:spPr>
                          <a:xfrm>
                            <a:off x="0" y="0"/>
                            <a:ext cx="5030470" cy="3074670"/>
                          </a:xfrm>
                          <a:prstGeom prst="rect">
                            <a:avLst/>
                          </a:prstGeom>
                          <a:noFill/>
                          <a:ln>
                            <a:noFill/>
                          </a:ln>
                        </pic:spPr>
                      </pic:pic>
                    </a:graphicData>
                  </a:graphic>
                </wp:inline>
              </w:drawing>
            </w:r>
          </w:p>
          <w:p w14:paraId="55E0628F">
            <w:pPr>
              <w:numPr>
                <w:ilvl w:val="0"/>
                <w:numId w:val="3"/>
              </w:numPr>
              <w:bidi w:val="0"/>
              <w:spacing w:line="360" w:lineRule="auto"/>
              <w:ind w:left="0" w:leftChars="0" w:firstLine="0" w:firstLineChars="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高压保险丝的更换</w:t>
            </w:r>
          </w:p>
          <w:p w14:paraId="5D97FB7A">
            <w:pPr>
              <w:pStyle w:val="22"/>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1）穿戴好高压防护设备。</w:t>
            </w:r>
          </w:p>
          <w:p w14:paraId="21C5A3AA">
            <w:pPr>
              <w:pStyle w:val="22"/>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rPr>
              <w:t>2）关闭点火开关，并</w:t>
            </w:r>
            <w:r>
              <w:rPr>
                <w:rFonts w:hint="eastAsia" w:ascii="宋体" w:hAnsi="宋体" w:eastAsia="宋体" w:cs="宋体"/>
                <w:color w:val="auto"/>
                <w:sz w:val="21"/>
                <w:szCs w:val="21"/>
                <w:highlight w:val="none"/>
              </w:rPr>
              <w:t>断开低压蓄电池电源。</w:t>
            </w:r>
          </w:p>
          <w:p w14:paraId="4EDAAC03">
            <w:pPr>
              <w:pStyle w:val="22"/>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拆下线束端子，</w:t>
            </w:r>
            <w:r>
              <w:rPr>
                <w:rFonts w:hint="eastAsia" w:ascii="宋体" w:hAnsi="宋体" w:eastAsia="宋体" w:cs="宋体"/>
                <w:color w:val="auto"/>
                <w:sz w:val="21"/>
                <w:szCs w:val="21"/>
                <w:highlight w:val="none"/>
              </w:rPr>
              <w:t>如图2-</w:t>
            </w:r>
            <w:r>
              <w:rPr>
                <w:rFonts w:hint="eastAsia" w:ascii="宋体" w:hAnsi="宋体" w:eastAsia="宋体" w:cs="宋体"/>
                <w:color w:val="auto"/>
                <w:sz w:val="21"/>
                <w:szCs w:val="21"/>
                <w:highlight w:val="none"/>
                <w:lang w:val="en-US" w:eastAsia="zh-CN"/>
              </w:rPr>
              <w:t>1-11</w:t>
            </w:r>
            <w:r>
              <w:rPr>
                <w:rFonts w:hint="eastAsia" w:ascii="宋体" w:hAnsi="宋体" w:eastAsia="宋体" w:cs="宋体"/>
                <w:color w:val="auto"/>
                <w:sz w:val="21"/>
                <w:szCs w:val="21"/>
                <w:highlight w:val="none"/>
              </w:rPr>
              <w:t>所示。</w:t>
            </w:r>
          </w:p>
          <w:p w14:paraId="00D95BAB">
            <w:pPr>
              <w:numPr>
                <w:ilvl w:val="0"/>
                <w:numId w:val="0"/>
              </w:numPr>
              <w:bidi w:val="0"/>
              <w:spacing w:line="360" w:lineRule="auto"/>
              <w:ind w:left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027295" cy="3855085"/>
                  <wp:effectExtent l="0" t="0" r="1905" b="1206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5027295" cy="3855085"/>
                          </a:xfrm>
                          <a:prstGeom prst="rect">
                            <a:avLst/>
                          </a:prstGeom>
                          <a:noFill/>
                          <a:ln>
                            <a:noFill/>
                          </a:ln>
                        </pic:spPr>
                      </pic:pic>
                    </a:graphicData>
                  </a:graphic>
                </wp:inline>
              </w:drawing>
            </w:r>
          </w:p>
          <w:p w14:paraId="6E302D98">
            <w:pPr>
              <w:numPr>
                <w:ilvl w:val="0"/>
                <w:numId w:val="4"/>
              </w:numPr>
              <w:bidi w:val="0"/>
              <w:spacing w:line="360" w:lineRule="auto"/>
              <w:ind w:lef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拆下高压连接件，</w:t>
            </w:r>
            <w:r>
              <w:rPr>
                <w:rFonts w:hint="eastAsia" w:ascii="宋体" w:hAnsi="宋体" w:eastAsia="宋体" w:cs="宋体"/>
                <w:color w:val="auto"/>
                <w:sz w:val="21"/>
                <w:szCs w:val="21"/>
                <w:highlight w:val="none"/>
              </w:rPr>
              <w:t>如图2-</w:t>
            </w:r>
            <w:r>
              <w:rPr>
                <w:rFonts w:hint="eastAsia" w:ascii="宋体" w:hAnsi="宋体" w:eastAsia="宋体" w:cs="宋体"/>
                <w:color w:val="auto"/>
                <w:sz w:val="21"/>
                <w:szCs w:val="21"/>
                <w:highlight w:val="none"/>
                <w:lang w:val="en-US" w:eastAsia="zh-CN"/>
              </w:rPr>
              <w:t>1-12</w:t>
            </w:r>
            <w:r>
              <w:rPr>
                <w:rFonts w:hint="eastAsia" w:ascii="宋体" w:hAnsi="宋体" w:eastAsia="宋体" w:cs="宋体"/>
                <w:color w:val="auto"/>
                <w:sz w:val="21"/>
                <w:szCs w:val="21"/>
                <w:highlight w:val="none"/>
              </w:rPr>
              <w:t>所示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拆下端盖</w:t>
            </w:r>
          </w:p>
          <w:p w14:paraId="4B505FA4">
            <w:pPr>
              <w:numPr>
                <w:ilvl w:val="0"/>
                <w:numId w:val="0"/>
              </w:num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198110" cy="2858135"/>
                  <wp:effectExtent l="0" t="0" r="2540" b="184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tretch>
                            <a:fillRect/>
                          </a:stretch>
                        </pic:blipFill>
                        <pic:spPr>
                          <a:xfrm>
                            <a:off x="0" y="0"/>
                            <a:ext cx="5198110" cy="2858135"/>
                          </a:xfrm>
                          <a:prstGeom prst="rect">
                            <a:avLst/>
                          </a:prstGeom>
                          <a:noFill/>
                          <a:ln>
                            <a:noFill/>
                          </a:ln>
                        </pic:spPr>
                      </pic:pic>
                    </a:graphicData>
                  </a:graphic>
                </wp:inline>
              </w:drawing>
            </w:r>
          </w:p>
          <w:p w14:paraId="0C2BB29D">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5）拆下保险，如图2-1-13所示。</w:t>
            </w:r>
          </w:p>
          <w:p w14:paraId="4FA6FADC">
            <w:pPr>
              <w:numPr>
                <w:ilvl w:val="0"/>
                <w:numId w:val="0"/>
              </w:num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691255" cy="4921885"/>
                  <wp:effectExtent l="0" t="0" r="12065" b="4445"/>
                  <wp:docPr id="19" name="图片 3" descr="C:/Users/BF/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C:/Users/BF/Desktop/图片1.png图片1"/>
                          <pic:cNvPicPr>
                            <a:picLocks noChangeAspect="1"/>
                          </pic:cNvPicPr>
                        </pic:nvPicPr>
                        <pic:blipFill>
                          <a:blip r:embed="rId16"/>
                          <a:srcRect l="21275" r="21275"/>
                          <a:stretch>
                            <a:fillRect/>
                          </a:stretch>
                        </pic:blipFill>
                        <pic:spPr>
                          <a:xfrm rot="5400000">
                            <a:off x="0" y="0"/>
                            <a:ext cx="3691255" cy="4921885"/>
                          </a:xfrm>
                          <a:prstGeom prst="rect">
                            <a:avLst/>
                          </a:prstGeom>
                          <a:noFill/>
                          <a:ln w="9525">
                            <a:noFill/>
                          </a:ln>
                        </pic:spPr>
                      </pic:pic>
                    </a:graphicData>
                  </a:graphic>
                </wp:inline>
              </w:drawing>
            </w:r>
          </w:p>
          <w:p w14:paraId="2929DD5A">
            <w:pPr>
              <w:numPr>
                <w:ilvl w:val="0"/>
                <w:numId w:val="0"/>
              </w:numPr>
              <w:bidi w:val="0"/>
              <w:spacing w:line="360" w:lineRule="auto"/>
              <w:jc w:val="left"/>
              <w:rPr>
                <w:rFonts w:hint="eastAsia" w:ascii="宋体" w:hAnsi="宋体" w:eastAsia="宋体" w:cs="宋体"/>
                <w:sz w:val="21"/>
                <w:szCs w:val="21"/>
                <w:lang w:val="en-US" w:eastAsia="zh-CN"/>
              </w:rPr>
            </w:pPr>
          </w:p>
        </w:tc>
      </w:tr>
      <w:tr w14:paraId="36DA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31E1778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16F917C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33B6B8C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14D71B7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24DA8338">
      <w:pPr>
        <w:rPr>
          <w:rFonts w:hint="eastAsia" w:ascii="宋体" w:hAnsi="宋体" w:eastAsia="宋体" w:cs="宋体"/>
          <w:color w:val="000000" w:themeColor="text1"/>
          <w:highlight w:val="yellow"/>
          <w:lang w:val="en-US" w:eastAsia="zh-CN"/>
          <w14:textFill>
            <w14:solidFill>
              <w14:schemeClr w14:val="tx1"/>
            </w14:solidFill>
          </w14:textFill>
        </w:rPr>
      </w:pPr>
    </w:p>
    <w:p w14:paraId="47657882">
      <w:pPr>
        <w:pStyle w:val="3"/>
        <w:bidi w:val="0"/>
        <w:rPr>
          <w:rFonts w:hint="default" w:eastAsia="微软雅黑"/>
          <w:lang w:val="en-US" w:eastAsia="zh-CN"/>
        </w:rPr>
      </w:pPr>
      <w:r>
        <w:rPr>
          <w:rFonts w:hint="eastAsia"/>
        </w:rPr>
        <w:t>任务</w:t>
      </w:r>
      <w:r>
        <w:rPr>
          <w:rFonts w:hint="eastAsia"/>
          <w:lang w:val="en-US" w:eastAsia="zh-CN"/>
        </w:rPr>
        <w:t>二</w:t>
      </w:r>
      <w:r>
        <w:rPr>
          <w:rFonts w:hint="eastAsia"/>
        </w:rPr>
        <w:t xml:space="preserve">  </w:t>
      </w:r>
      <w:r>
        <w:rPr>
          <w:rFonts w:hint="eastAsia"/>
          <w:spacing w:val="2"/>
          <w:lang w:val="en-US" w:eastAsia="zh-CN"/>
        </w:rPr>
        <w:t>互锁控制的检修</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6248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CB72E1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30926E2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3B9C424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28354934">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1FA0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3DF63C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350232D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w:t>
            </w:r>
            <w:r>
              <w:rPr>
                <w:rFonts w:hint="eastAsia" w:ascii="宋体" w:hAnsi="宋体" w:eastAsia="宋体" w:cs="宋体"/>
                <w:color w:val="000000" w:themeColor="text1"/>
                <w:sz w:val="21"/>
                <w:szCs w:val="21"/>
                <w:lang w:val="en-US" w:eastAsia="zh-CN"/>
                <w14:textFill>
                  <w14:solidFill>
                    <w14:schemeClr w14:val="tx1"/>
                  </w14:solidFill>
                </w14:textFill>
              </w:rPr>
              <w:t>二 互锁控制的检修</w:t>
            </w:r>
          </w:p>
        </w:tc>
        <w:tc>
          <w:tcPr>
            <w:tcW w:w="735" w:type="pct"/>
            <w:shd w:val="clear" w:color="auto" w:fill="auto"/>
            <w:vAlign w:val="center"/>
          </w:tcPr>
          <w:p w14:paraId="4ED645BC">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0BD2C30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35CB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1C484A79">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0F53C1FD">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76EDBD3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01CD267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6720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2600E44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217BDFD1">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57C5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3355C22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6B41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gridSpan w:val="2"/>
            <w:shd w:val="clear" w:color="auto" w:fill="auto"/>
            <w:vAlign w:val="center"/>
          </w:tcPr>
          <w:p w14:paraId="6D8B4B8F">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55230F9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1174D869">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61B0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10" w:hRule="atLeast"/>
          <w:jc w:val="center"/>
        </w:trPr>
        <w:tc>
          <w:tcPr>
            <w:tcW w:w="1543" w:type="pct"/>
            <w:gridSpan w:val="2"/>
            <w:shd w:val="clear" w:color="auto" w:fill="auto"/>
            <w:vAlign w:val="center"/>
          </w:tcPr>
          <w:p w14:paraId="77DBB5EA">
            <w:pPr>
              <w:spacing w:line="360" w:lineRule="auto"/>
              <w:rPr>
                <w:rFonts w:hint="eastAsia" w:ascii="宋体" w:hAnsi="宋体" w:eastAsia="宋体" w:cs="宋体"/>
                <w:color w:val="auto"/>
                <w:sz w:val="21"/>
                <w:szCs w:val="21"/>
              </w:rPr>
            </w:pPr>
            <w:r>
              <w:rPr>
                <w:rFonts w:hint="eastAsia" w:ascii="宋体" w:hAnsi="宋体" w:eastAsia="宋体" w:cs="宋体"/>
                <w:sz w:val="21"/>
                <w:szCs w:val="21"/>
                <w:lang w:val="en-US" w:eastAsia="zh-CN"/>
              </w:rPr>
              <w:t>1.</w:t>
            </w:r>
            <w:r>
              <w:rPr>
                <w:rFonts w:hint="eastAsia" w:ascii="宋体" w:hAnsi="宋体" w:eastAsia="宋体" w:cs="宋体"/>
                <w:color w:val="auto"/>
                <w:sz w:val="21"/>
                <w:szCs w:val="21"/>
                <w:lang w:val="en-US" w:eastAsia="zh-CN"/>
              </w:rPr>
              <w:t>掌握</w:t>
            </w:r>
            <w:r>
              <w:rPr>
                <w:rFonts w:hint="eastAsia" w:ascii="宋体" w:hAnsi="宋体" w:eastAsia="宋体" w:cs="宋体"/>
                <w:color w:val="auto"/>
                <w:sz w:val="21"/>
                <w:szCs w:val="21"/>
              </w:rPr>
              <w:t>高压互锁的定义</w:t>
            </w:r>
          </w:p>
          <w:p w14:paraId="5D660A1E">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2.掌握</w:t>
            </w:r>
            <w:r>
              <w:rPr>
                <w:rFonts w:hint="eastAsia" w:ascii="宋体" w:hAnsi="宋体" w:eastAsia="宋体" w:cs="宋体"/>
                <w:color w:val="auto"/>
                <w:sz w:val="21"/>
                <w:szCs w:val="21"/>
              </w:rPr>
              <w:t>高压互锁的结构</w:t>
            </w:r>
          </w:p>
          <w:p w14:paraId="1C16E264">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lang w:val="en-US" w:eastAsia="zh-CN"/>
              </w:rPr>
              <w:t>3.掌握</w:t>
            </w:r>
            <w:r>
              <w:rPr>
                <w:rFonts w:hint="eastAsia" w:ascii="宋体" w:hAnsi="宋体" w:eastAsia="宋体" w:cs="宋体"/>
                <w:color w:val="auto"/>
                <w:sz w:val="21"/>
                <w:szCs w:val="21"/>
              </w:rPr>
              <w:t>高压互锁的控制</w:t>
            </w:r>
          </w:p>
        </w:tc>
        <w:tc>
          <w:tcPr>
            <w:tcW w:w="1776" w:type="pct"/>
            <w:gridSpan w:val="3"/>
            <w:shd w:val="clear" w:color="auto" w:fill="auto"/>
            <w:vAlign w:val="center"/>
          </w:tcPr>
          <w:p w14:paraId="100237D8">
            <w:pPr>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高压互锁的结构</w:t>
            </w:r>
            <w:r>
              <w:rPr>
                <w:rFonts w:hint="eastAsia" w:ascii="宋体" w:hAnsi="宋体" w:eastAsia="宋体" w:cs="宋体"/>
                <w:color w:val="auto"/>
                <w:sz w:val="21"/>
                <w:szCs w:val="21"/>
                <w:lang w:val="en-US" w:eastAsia="zh-CN"/>
              </w:rPr>
              <w:t>认知</w:t>
            </w:r>
          </w:p>
          <w:p w14:paraId="6E96A00F">
            <w:pPr>
              <w:numPr>
                <w:ilvl w:val="0"/>
                <w:numId w:val="0"/>
              </w:num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高压互锁的</w:t>
            </w:r>
            <w:r>
              <w:rPr>
                <w:rFonts w:hint="eastAsia" w:ascii="宋体" w:hAnsi="宋体" w:eastAsia="宋体" w:cs="宋体"/>
                <w:color w:val="auto"/>
                <w:sz w:val="21"/>
                <w:szCs w:val="21"/>
                <w:lang w:val="en-US" w:eastAsia="zh-CN"/>
              </w:rPr>
              <w:t>故障检修</w:t>
            </w:r>
          </w:p>
        </w:tc>
        <w:tc>
          <w:tcPr>
            <w:tcW w:w="1680" w:type="pct"/>
            <w:shd w:val="clear" w:color="auto" w:fill="auto"/>
            <w:vAlign w:val="center"/>
          </w:tcPr>
          <w:p w14:paraId="57B33A11">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28A43304">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2E36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5000" w:type="pct"/>
            <w:gridSpan w:val="6"/>
            <w:shd w:val="clear" w:color="auto" w:fill="auto"/>
            <w:vAlign w:val="center"/>
          </w:tcPr>
          <w:p w14:paraId="0EFCDF75">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341CE147">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auto"/>
                <w:sz w:val="21"/>
                <w:szCs w:val="21"/>
                <w:lang w:val="en-US" w:eastAsia="zh-CN"/>
              </w:rPr>
              <w:t>蓄电池</w:t>
            </w:r>
            <w:r>
              <w:rPr>
                <w:rFonts w:hint="eastAsia" w:ascii="宋体" w:hAnsi="宋体" w:eastAsia="宋体" w:cs="宋体"/>
                <w:color w:val="auto"/>
                <w:sz w:val="21"/>
                <w:szCs w:val="21"/>
              </w:rPr>
              <w:t>的类型与特点</w:t>
            </w:r>
          </w:p>
          <w:p w14:paraId="6CA37FF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auto"/>
                <w:sz w:val="21"/>
                <w:szCs w:val="21"/>
                <w:lang w:val="en-US" w:eastAsia="zh-CN"/>
              </w:rPr>
              <w:t>动力蓄电池模</w:t>
            </w:r>
            <w:r>
              <w:rPr>
                <w:rFonts w:hint="eastAsia" w:ascii="宋体" w:hAnsi="宋体" w:eastAsia="宋体" w:cs="宋体"/>
                <w:color w:val="auto"/>
                <w:sz w:val="21"/>
                <w:szCs w:val="21"/>
              </w:rPr>
              <w:t>组</w:t>
            </w:r>
            <w:r>
              <w:rPr>
                <w:rFonts w:hint="eastAsia" w:ascii="宋体" w:hAnsi="宋体" w:eastAsia="宋体" w:cs="宋体"/>
                <w:sz w:val="21"/>
                <w:szCs w:val="21"/>
              </w:rPr>
              <w:t>的结构</w:t>
            </w:r>
          </w:p>
        </w:tc>
      </w:tr>
      <w:tr w14:paraId="148D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5E044C16">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7C898D7A">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7F0B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1FE54AAA">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3E219E0A">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6B14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5F9EAAD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670B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630816F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743318E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4786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774E3B7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01C967FC">
            <w:pPr>
              <w:pStyle w:val="4"/>
              <w:numPr>
                <w:ilvl w:val="0"/>
                <w:numId w:val="0"/>
              </w:numPr>
              <w:bidi w:val="0"/>
              <w:spacing w:line="360" w:lineRule="auto"/>
              <w:rPr>
                <w:rFonts w:hint="eastAsia" w:ascii="宋体" w:hAnsi="宋体" w:eastAsia="宋体" w:cs="宋体"/>
                <w:b w:val="0"/>
                <w:bCs/>
                <w:sz w:val="21"/>
                <w:szCs w:val="21"/>
                <w:lang w:val="en-US" w:eastAsia="zh-CN"/>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sz w:val="21"/>
                <w:szCs w:val="21"/>
              </w:rPr>
              <w:t>高压互锁</w:t>
            </w:r>
            <w:r>
              <w:rPr>
                <w:rFonts w:hint="eastAsia" w:ascii="宋体" w:hAnsi="宋体" w:eastAsia="宋体" w:cs="宋体"/>
                <w:b w:val="0"/>
                <w:bCs/>
                <w:sz w:val="21"/>
                <w:szCs w:val="21"/>
                <w:lang w:val="en-US" w:eastAsia="zh-CN"/>
              </w:rPr>
              <w:t>定义</w:t>
            </w:r>
          </w:p>
          <w:p w14:paraId="5957149E">
            <w:pPr>
              <w:spacing w:line="360" w:lineRule="auto"/>
              <w:rPr>
                <w:rFonts w:hint="eastAsia" w:ascii="宋体" w:hAnsi="宋体" w:eastAsia="宋体" w:cs="宋体"/>
                <w:b/>
                <w:bCs/>
                <w:sz w:val="21"/>
                <w:szCs w:val="21"/>
                <w:lang w:val="en-US" w:eastAsia="zh-CN"/>
              </w:rPr>
            </w:pPr>
            <w:r>
              <w:rPr>
                <w:rFonts w:hint="eastAsia" w:ascii="宋体" w:hAnsi="宋体" w:eastAsia="宋体" w:cs="宋体"/>
                <w:sz w:val="21"/>
                <w:szCs w:val="21"/>
              </w:rPr>
              <w:t>高压互锁是一种通过低压信号实时监测高压回路连接状态的安全机制，旨在确保新能源汽车高压系统的完整性和安全性。</w:t>
            </w:r>
          </w:p>
          <w:p w14:paraId="33D6EF82">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高压互锁</w:t>
            </w:r>
            <w:r>
              <w:rPr>
                <w:rFonts w:hint="eastAsia" w:ascii="宋体" w:hAnsi="宋体" w:eastAsia="宋体" w:cs="宋体"/>
                <w:sz w:val="21"/>
                <w:szCs w:val="21"/>
                <w:lang w:eastAsia="zh-CN"/>
              </w:rPr>
              <w:t>的</w:t>
            </w:r>
            <w:r>
              <w:rPr>
                <w:rFonts w:hint="eastAsia" w:ascii="宋体" w:hAnsi="宋体" w:eastAsia="宋体" w:cs="宋体"/>
                <w:sz w:val="21"/>
                <w:szCs w:val="21"/>
                <w:lang w:val="en-US" w:eastAsia="zh-CN"/>
              </w:rPr>
              <w:t>作用有以下几个方面：</w:t>
            </w:r>
          </w:p>
          <w:p w14:paraId="4B164839">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（1）实时监测高压回路完整性：通过低压信号检测高压连接器、线束等部件的松动或脱落，提前预警并采取保护措施，避免因虚接或断路导致的高压断电事故。</w:t>
            </w:r>
          </w:p>
          <w:p w14:paraId="4EA98A7E">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（2）防止电弧危害：在插拔高压连接器时，通过设计互锁端子与高压端子的物理长度差异（互锁端子后接、先断），避免高压电直接暴露产生拉弧现象，降低人员触电或设备损坏风险。</w:t>
            </w:r>
          </w:p>
          <w:p w14:paraId="00EC38B5">
            <w:pPr>
              <w:bidi w:val="0"/>
              <w:spacing w:line="36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（3）人为误操作防护：若在高压系统运行中人为断开连接，系统会立即切断高压电源并报警，防止因操作失误引发安全事故。</w:t>
            </w:r>
          </w:p>
          <w:p w14:paraId="7555E996">
            <w:pPr>
              <w:pStyle w:val="4"/>
              <w:bidi w:val="0"/>
              <w:spacing w:line="360" w:lineRule="auto"/>
              <w:rPr>
                <w:rFonts w:hint="eastAsia" w:ascii="宋体" w:hAnsi="宋体" w:eastAsia="宋体" w:cs="宋体"/>
                <w:b w:val="0"/>
                <w:bCs/>
                <w:sz w:val="21"/>
                <w:szCs w:val="21"/>
                <w:lang w:val="en-US" w:eastAsia="zh-CN"/>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sz w:val="21"/>
                <w:szCs w:val="21"/>
                <w:lang w:val="en-US" w:eastAsia="zh-CN"/>
              </w:rPr>
              <w:t>高压互锁结构</w:t>
            </w:r>
          </w:p>
          <w:p w14:paraId="14F9B1BF">
            <w:pPr>
              <w:rPr>
                <w:rFonts w:hint="eastAsia" w:ascii="宋体" w:hAnsi="宋体" w:eastAsia="宋体" w:cs="宋体"/>
                <w:sz w:val="21"/>
                <w:szCs w:val="21"/>
                <w:lang w:val="en-US" w:eastAsia="zh-CN"/>
              </w:rPr>
            </w:pPr>
            <w:r>
              <w:rPr>
                <w:rFonts w:hint="eastAsia" w:ascii="宋体" w:hAnsi="宋体" w:eastAsia="宋体" w:cs="宋体"/>
                <w:b w:val="0"/>
                <w:bCs/>
                <w:sz w:val="21"/>
                <w:szCs w:val="21"/>
                <w:lang w:val="en-US" w:eastAsia="zh-CN"/>
              </w:rPr>
              <w:t>1）连接器互锁</w:t>
            </w:r>
          </w:p>
          <w:p w14:paraId="02552CB6">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高压插头中，高压电源端子的物理长度长于互锁端子，确保连接时高压先导通、互锁后导通；断开时互锁先断开、高压后断开</w:t>
            </w:r>
            <w:r>
              <w:rPr>
                <w:rFonts w:hint="eastAsia" w:ascii="宋体" w:hAnsi="宋体" w:eastAsia="宋体" w:cs="宋体"/>
                <w:color w:val="000000" w:themeColor="text1"/>
                <w:sz w:val="21"/>
                <w:szCs w:val="21"/>
                <w14:textFill>
                  <w14:solidFill>
                    <w14:schemeClr w14:val="tx1"/>
                  </w14:solidFill>
                </w14:textFill>
              </w:rPr>
              <w:t>。若插接器不能完好的插接或断开，则完好后高压电器一侧的互锁端子处于断开状态。</w:t>
            </w:r>
          </w:p>
          <w:p w14:paraId="759FD86C">
            <w:pPr>
              <w:numPr>
                <w:ilvl w:val="0"/>
                <w:numId w:val="0"/>
              </w:num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drawing>
                <wp:inline distT="0" distB="0" distL="114300" distR="114300">
                  <wp:extent cx="5185410" cy="5319395"/>
                  <wp:effectExtent l="0" t="0" r="15240" b="14605"/>
                  <wp:docPr id="28"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
                          <pic:cNvPicPr>
                            <a:picLocks noChangeAspect="1"/>
                          </pic:cNvPicPr>
                        </pic:nvPicPr>
                        <pic:blipFill>
                          <a:blip r:embed="rId17"/>
                          <a:stretch>
                            <a:fillRect/>
                          </a:stretch>
                        </pic:blipFill>
                        <pic:spPr>
                          <a:xfrm>
                            <a:off x="0" y="0"/>
                            <a:ext cx="5185410" cy="5319395"/>
                          </a:xfrm>
                          <a:prstGeom prst="rect">
                            <a:avLst/>
                          </a:prstGeom>
                        </pic:spPr>
                      </pic:pic>
                    </a:graphicData>
                  </a:graphic>
                </wp:inline>
              </w:drawing>
            </w:r>
          </w:p>
          <w:p w14:paraId="6F9EF6D4">
            <w:pPr>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高压电器护盖保护开关</w:t>
            </w:r>
          </w:p>
          <w:p w14:paraId="13EF7592">
            <w:pPr>
              <w:numPr>
                <w:ilvl w:val="0"/>
                <w:numId w:val="0"/>
              </w:numPr>
              <w:bidi w:val="0"/>
              <w:spacing w:line="360" w:lineRule="auto"/>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为了保证高压电器维修的安全，在高压电器上装有</w:t>
            </w:r>
            <w:r>
              <w:rPr>
                <w:rFonts w:hint="eastAsia" w:ascii="宋体" w:hAnsi="宋体" w:eastAsia="宋体" w:cs="宋体"/>
                <w:color w:val="000000" w:themeColor="text1"/>
                <w:sz w:val="21"/>
                <w:szCs w:val="21"/>
                <w:lang w:val="en-US" w:eastAsia="zh-CN"/>
                <w14:textFill>
                  <w14:solidFill>
                    <w14:schemeClr w14:val="tx1"/>
                  </w14:solidFill>
                </w14:textFill>
              </w:rPr>
              <w:t>互锁</w:t>
            </w:r>
            <w:r>
              <w:rPr>
                <w:rFonts w:hint="eastAsia" w:ascii="宋体" w:hAnsi="宋体" w:eastAsia="宋体" w:cs="宋体"/>
                <w:color w:val="000000" w:themeColor="text1"/>
                <w:sz w:val="21"/>
                <w:szCs w:val="21"/>
                <w14:textFill>
                  <w14:solidFill>
                    <w14:schemeClr w14:val="tx1"/>
                  </w14:solidFill>
                </w14:textFill>
              </w:rPr>
              <w:t>开关，如图2-2</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所示。</w:t>
            </w:r>
          </w:p>
          <w:p w14:paraId="63924642">
            <w:pPr>
              <w:numPr>
                <w:ilvl w:val="0"/>
                <w:numId w:val="0"/>
              </w:num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drawing>
                <wp:inline distT="0" distB="0" distL="114300" distR="114300">
                  <wp:extent cx="5184140" cy="2966085"/>
                  <wp:effectExtent l="0" t="0" r="16510" b="5715"/>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18"/>
                          <a:stretch>
                            <a:fillRect/>
                          </a:stretch>
                        </pic:blipFill>
                        <pic:spPr>
                          <a:xfrm>
                            <a:off x="0" y="0"/>
                            <a:ext cx="5184140" cy="2966085"/>
                          </a:xfrm>
                          <a:prstGeom prst="rect">
                            <a:avLst/>
                          </a:prstGeom>
                        </pic:spPr>
                      </pic:pic>
                    </a:graphicData>
                  </a:graphic>
                </wp:inline>
              </w:drawing>
            </w:r>
          </w:p>
          <w:p w14:paraId="5005F36C">
            <w:pPr>
              <w:pStyle w:val="4"/>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3.</w:t>
            </w:r>
            <w:r>
              <w:rPr>
                <w:rFonts w:hint="eastAsia" w:ascii="宋体" w:hAnsi="宋体" w:eastAsia="宋体" w:cs="宋体"/>
                <w:b w:val="0"/>
                <w:bCs/>
                <w:sz w:val="21"/>
                <w:szCs w:val="21"/>
              </w:rPr>
              <w:t>高压互锁原理</w:t>
            </w:r>
          </w:p>
          <w:p w14:paraId="0A393D1F">
            <w:pPr>
              <w:spacing w:line="360" w:lineRule="auto"/>
              <w:rPr>
                <w:rFonts w:hint="eastAsia" w:ascii="宋体" w:hAnsi="宋体" w:eastAsia="宋体" w:cs="宋体"/>
                <w:sz w:val="21"/>
                <w:szCs w:val="21"/>
              </w:rPr>
            </w:pPr>
            <w:r>
              <w:rPr>
                <w:rFonts w:hint="eastAsia" w:ascii="宋体" w:hAnsi="宋体" w:eastAsia="宋体" w:cs="宋体"/>
                <w:sz w:val="21"/>
                <w:szCs w:val="21"/>
              </w:rPr>
              <w:t>新能源汽车高压互锁原理是一种安全机制，旨在确保高压系统中任何潜在的电气连接问题能够被迅速且安全地检测并处理。其工作原理简述如下：</w:t>
            </w:r>
          </w:p>
          <w:p w14:paraId="073D51A5">
            <w:pPr>
              <w:bidi w:val="0"/>
              <w:spacing w:line="360" w:lineRule="auto"/>
              <w:rPr>
                <w:rFonts w:hint="eastAsia" w:ascii="宋体" w:hAnsi="宋体" w:eastAsia="宋体" w:cs="宋体"/>
                <w:sz w:val="21"/>
                <w:szCs w:val="21"/>
              </w:rPr>
            </w:pPr>
            <w:r>
              <w:rPr>
                <w:rFonts w:hint="eastAsia" w:ascii="宋体" w:hAnsi="宋体" w:eastAsia="宋体" w:cs="宋体"/>
                <w:sz w:val="21"/>
                <w:szCs w:val="21"/>
              </w:rPr>
              <w:t>动力电池包是高压回路的动力来源，同样给低压回路提供一个检测用电源，低压信号沿着闭合的低压回路进行传递。低压信号传递过程中一旦信号中断</w:t>
            </w:r>
            <w:r>
              <w:rPr>
                <w:rFonts w:hint="eastAsia" w:ascii="宋体" w:hAnsi="宋体" w:eastAsia="宋体" w:cs="宋体"/>
                <w:sz w:val="21"/>
                <w:szCs w:val="21"/>
                <w:lang w:eastAsia="zh-CN"/>
              </w:rPr>
              <w:t>，</w:t>
            </w:r>
            <w:r>
              <w:rPr>
                <w:rFonts w:hint="eastAsia" w:ascii="宋体" w:hAnsi="宋体" w:eastAsia="宋体" w:cs="宋体"/>
                <w:sz w:val="21"/>
                <w:szCs w:val="21"/>
              </w:rPr>
              <w:t>就可以说明某一个高压连接器出现松动或者脱落。电动汽车高压互锁回路端子和高压互锁回路端子互锁与断开原理。</w:t>
            </w:r>
          </w:p>
          <w:p w14:paraId="2BECF239">
            <w:pPr>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256530" cy="2775585"/>
                  <wp:effectExtent l="0" t="0" r="1270" b="5715"/>
                  <wp:docPr id="31" name="图片 3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2"/>
                          <pic:cNvPicPr>
                            <a:picLocks noChangeAspect="1"/>
                          </pic:cNvPicPr>
                        </pic:nvPicPr>
                        <pic:blipFill>
                          <a:blip r:embed="rId19"/>
                          <a:stretch>
                            <a:fillRect/>
                          </a:stretch>
                        </pic:blipFill>
                        <pic:spPr>
                          <a:xfrm>
                            <a:off x="0" y="0"/>
                            <a:ext cx="5256530" cy="2775585"/>
                          </a:xfrm>
                          <a:prstGeom prst="rect">
                            <a:avLst/>
                          </a:prstGeom>
                        </pic:spPr>
                      </pic:pic>
                    </a:graphicData>
                  </a:graphic>
                </wp:inline>
              </w:drawing>
            </w:r>
          </w:p>
          <w:p w14:paraId="44B35A35">
            <w:pPr>
              <w:bidi w:val="0"/>
              <w:spacing w:line="360" w:lineRule="auto"/>
              <w:rPr>
                <w:rFonts w:hint="eastAsia" w:ascii="宋体" w:hAnsi="宋体" w:eastAsia="宋体" w:cs="宋体"/>
                <w:sz w:val="21"/>
                <w:szCs w:val="21"/>
              </w:rPr>
            </w:pPr>
            <w:r>
              <w:rPr>
                <w:rFonts w:hint="eastAsia" w:ascii="宋体" w:hAnsi="宋体" w:eastAsia="宋体" w:cs="宋体"/>
                <w:sz w:val="21"/>
                <w:szCs w:val="21"/>
              </w:rPr>
              <w:t>高压互锁插头中高压电源的正、负极端子物理长度比中间互锁端子长，故当连接高压插头插合时，高压插头的电源端子先于中间互锁端子插合；断开高压插头时，中间互锁端子同样先于高压电源的正、负极端子脱开，从而避免了高压环境下拉弧的产生。采用低压导线作为高压互锁装置中的信号线，信号线与高压电源线并联在高压线束护套管内，通过这种方式将所有高压部件串联起来形成闭合回路。除此，高压互锁装置内还配备了行程开关，用于</w:t>
            </w:r>
            <w:r>
              <w:rPr>
                <w:rFonts w:hint="eastAsia" w:ascii="宋体" w:hAnsi="宋体" w:eastAsia="宋体" w:cs="宋体"/>
                <w:sz w:val="21"/>
                <w:szCs w:val="21"/>
                <w:lang w:eastAsia="zh-CN"/>
              </w:rPr>
              <w:t>检测</w:t>
            </w:r>
            <w:r>
              <w:rPr>
                <w:rFonts w:hint="eastAsia" w:ascii="宋体" w:hAnsi="宋体" w:eastAsia="宋体" w:cs="宋体"/>
                <w:sz w:val="21"/>
                <w:szCs w:val="21"/>
              </w:rPr>
              <w:t>高压部件盖板是否可靠关闭 。同时，还有用于触发断电信号的车辆碰撞和翻转信号监测装置，从而确保在短时间内高压回路断开，并将汽车高压部件电容端的电压通过放电回路短时间内放掉，保证整车安全。</w:t>
            </w:r>
          </w:p>
          <w:p w14:paraId="27A6D939">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任务实施：</w:t>
            </w:r>
          </w:p>
          <w:p w14:paraId="7BA06DC4">
            <w:pPr>
              <w:bidi w:val="0"/>
              <w:spacing w:line="360" w:lineRule="auto"/>
              <w:rPr>
                <w:rFonts w:hint="eastAsia" w:ascii="宋体" w:hAnsi="宋体" w:eastAsia="宋体" w:cs="宋体"/>
                <w:b/>
                <w:bCs/>
                <w:sz w:val="21"/>
                <w:szCs w:val="21"/>
              </w:rPr>
            </w:pPr>
            <w:r>
              <w:rPr>
                <w:rFonts w:hint="eastAsia" w:ascii="宋体" w:hAnsi="宋体" w:eastAsia="宋体" w:cs="宋体"/>
                <w:b/>
                <w:bCs/>
                <w:sz w:val="21"/>
                <w:szCs w:val="21"/>
              </w:rPr>
              <w:t>高压互锁故障</w:t>
            </w:r>
          </w:p>
          <w:p w14:paraId="510BC7EF">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1.故障现象</w:t>
            </w:r>
          </w:p>
          <w:p w14:paraId="53167BED">
            <w:pPr>
              <w:bidi w:val="0"/>
              <w:spacing w:line="360" w:lineRule="auto"/>
              <w:ind w:firstLine="420" w:firstLineChars="200"/>
              <w:jc w:val="both"/>
              <w:rPr>
                <w:rFonts w:hint="eastAsia" w:ascii="宋体" w:hAnsi="宋体" w:eastAsia="宋体" w:cs="宋体"/>
                <w:kern w:val="2"/>
                <w:sz w:val="21"/>
                <w:szCs w:val="21"/>
                <w:lang w:bidi="ar-SA"/>
              </w:rPr>
            </w:pPr>
            <w:r>
              <w:rPr>
                <w:rFonts w:hint="eastAsia" w:ascii="宋体" w:hAnsi="宋体" w:eastAsia="宋体" w:cs="宋体"/>
                <w:kern w:val="2"/>
                <w:sz w:val="21"/>
                <w:szCs w:val="21"/>
                <w:lang w:val="en-US" w:eastAsia="zh-CN" w:bidi="ar-SA"/>
              </w:rPr>
              <w:t>车辆</w:t>
            </w:r>
            <w:r>
              <w:rPr>
                <w:rFonts w:hint="eastAsia" w:ascii="宋体" w:hAnsi="宋体" w:eastAsia="宋体" w:cs="宋体"/>
                <w:kern w:val="2"/>
                <w:sz w:val="21"/>
                <w:szCs w:val="21"/>
                <w:lang w:bidi="ar-SA"/>
              </w:rPr>
              <w:t>动力丢失，系统故障灯亮，无法上电，仪表无READY显示</w:t>
            </w:r>
            <w:r>
              <w:rPr>
                <w:rFonts w:hint="eastAsia" w:ascii="宋体" w:hAnsi="宋体" w:eastAsia="宋体" w:cs="宋体"/>
                <w:kern w:val="2"/>
                <w:sz w:val="21"/>
                <w:szCs w:val="21"/>
                <w:lang w:eastAsia="zh-CN" w:bidi="ar-SA"/>
              </w:rPr>
              <w:t>，</w:t>
            </w:r>
            <w:r>
              <w:rPr>
                <w:rFonts w:hint="eastAsia" w:ascii="宋体" w:hAnsi="宋体" w:eastAsia="宋体" w:cs="宋体"/>
                <w:kern w:val="2"/>
                <w:sz w:val="21"/>
                <w:szCs w:val="21"/>
                <w:lang w:val="en-US" w:eastAsia="zh-CN" w:bidi="ar-SA"/>
              </w:rPr>
              <w:t>诊断仪读码有关于高压互锁的故障码</w:t>
            </w:r>
            <w:r>
              <w:rPr>
                <w:rFonts w:hint="eastAsia" w:ascii="宋体" w:hAnsi="宋体" w:eastAsia="宋体" w:cs="宋体"/>
                <w:kern w:val="2"/>
                <w:sz w:val="21"/>
                <w:szCs w:val="21"/>
                <w:lang w:bidi="ar-SA"/>
              </w:rPr>
              <w:t>。</w:t>
            </w:r>
          </w:p>
          <w:p w14:paraId="63FB57B1">
            <w:pPr>
              <w:numPr>
                <w:ilvl w:val="0"/>
                <w:numId w:val="5"/>
              </w:numPr>
              <w:bidi w:val="0"/>
              <w:spacing w:line="36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故障原因</w:t>
            </w:r>
          </w:p>
          <w:p w14:paraId="3750E32D">
            <w:pPr>
              <w:bidi w:val="0"/>
              <w:spacing w:line="360" w:lineRule="auto"/>
              <w:ind w:firstLine="420" w:firstLineChars="200"/>
              <w:jc w:val="both"/>
              <w:rPr>
                <w:rFonts w:hint="eastAsia" w:ascii="宋体" w:hAnsi="宋体" w:eastAsia="宋体" w:cs="宋体"/>
                <w:kern w:val="2"/>
                <w:sz w:val="21"/>
                <w:szCs w:val="21"/>
                <w:lang w:eastAsia="zh-CN" w:bidi="ar-SA"/>
              </w:rPr>
            </w:pPr>
            <w:r>
              <w:rPr>
                <w:rFonts w:hint="eastAsia" w:ascii="宋体" w:hAnsi="宋体" w:eastAsia="宋体" w:cs="宋体"/>
                <w:kern w:val="2"/>
                <w:sz w:val="21"/>
                <w:szCs w:val="21"/>
                <w:lang w:bidi="ar-SA"/>
              </w:rPr>
              <w:t>高压互锁开关失效</w:t>
            </w:r>
            <w:r>
              <w:rPr>
                <w:rFonts w:hint="eastAsia" w:ascii="宋体" w:hAnsi="宋体" w:eastAsia="宋体" w:cs="宋体"/>
                <w:kern w:val="2"/>
                <w:sz w:val="21"/>
                <w:szCs w:val="21"/>
                <w:lang w:eastAsia="zh-CN" w:bidi="ar-SA"/>
              </w:rPr>
              <w:t>、</w:t>
            </w:r>
            <w:r>
              <w:rPr>
                <w:rFonts w:hint="eastAsia" w:ascii="宋体" w:hAnsi="宋体" w:eastAsia="宋体" w:cs="宋体"/>
                <w:kern w:val="2"/>
                <w:sz w:val="21"/>
                <w:szCs w:val="21"/>
                <w:lang w:bidi="ar-SA"/>
              </w:rPr>
              <w:t xml:space="preserve">端子退针开路 </w:t>
            </w:r>
            <w:r>
              <w:rPr>
                <w:rFonts w:hint="eastAsia" w:ascii="宋体" w:hAnsi="宋体" w:eastAsia="宋体" w:cs="宋体"/>
                <w:kern w:val="2"/>
                <w:sz w:val="21"/>
                <w:szCs w:val="21"/>
                <w:lang w:eastAsia="zh-CN" w:bidi="ar-SA"/>
              </w:rPr>
              <w:t>、</w:t>
            </w:r>
            <w:r>
              <w:rPr>
                <w:rFonts w:hint="eastAsia" w:ascii="宋体" w:hAnsi="宋体" w:eastAsia="宋体" w:cs="宋体"/>
                <w:kern w:val="2"/>
                <w:sz w:val="21"/>
                <w:szCs w:val="21"/>
                <w:lang w:bidi="ar-SA"/>
              </w:rPr>
              <w:t>互锁端子对地短路</w:t>
            </w:r>
            <w:r>
              <w:rPr>
                <w:rFonts w:hint="eastAsia" w:ascii="宋体" w:hAnsi="宋体" w:eastAsia="宋体" w:cs="宋体"/>
                <w:kern w:val="2"/>
                <w:sz w:val="21"/>
                <w:szCs w:val="21"/>
                <w:lang w:eastAsia="zh-CN" w:bidi="ar-SA"/>
              </w:rPr>
              <w:t>、</w:t>
            </w:r>
            <w:r>
              <w:rPr>
                <w:rFonts w:hint="eastAsia" w:ascii="宋体" w:hAnsi="宋体" w:eastAsia="宋体" w:cs="宋体"/>
                <w:kern w:val="2"/>
                <w:sz w:val="21"/>
                <w:szCs w:val="21"/>
                <w:lang w:bidi="ar-SA"/>
              </w:rPr>
              <w:t>高压插接件未插到位</w:t>
            </w:r>
            <w:r>
              <w:rPr>
                <w:rFonts w:hint="eastAsia" w:ascii="宋体" w:hAnsi="宋体" w:eastAsia="宋体" w:cs="宋体"/>
                <w:kern w:val="2"/>
                <w:sz w:val="21"/>
                <w:szCs w:val="21"/>
                <w:lang w:eastAsia="zh-CN" w:bidi="ar-SA"/>
              </w:rPr>
              <w:t>、</w:t>
            </w:r>
          </w:p>
          <w:p w14:paraId="380886DE">
            <w:pPr>
              <w:numPr>
                <w:ilvl w:val="0"/>
                <w:numId w:val="0"/>
              </w:numPr>
              <w:bidi w:val="0"/>
              <w:spacing w:line="360" w:lineRule="auto"/>
              <w:rPr>
                <w:rFonts w:hint="eastAsia" w:ascii="宋体" w:hAnsi="宋体" w:eastAsia="宋体" w:cs="宋体"/>
                <w:kern w:val="2"/>
                <w:sz w:val="21"/>
                <w:szCs w:val="21"/>
                <w:lang w:bidi="ar-SA"/>
              </w:rPr>
            </w:pPr>
            <w:r>
              <w:rPr>
                <w:rFonts w:hint="eastAsia" w:ascii="宋体" w:hAnsi="宋体" w:eastAsia="宋体" w:cs="宋体"/>
                <w:kern w:val="2"/>
                <w:sz w:val="21"/>
                <w:szCs w:val="21"/>
                <w:lang w:val="en-US" w:eastAsia="zh-CN" w:bidi="ar-SA"/>
              </w:rPr>
              <w:t>另外</w:t>
            </w:r>
            <w:r>
              <w:rPr>
                <w:rFonts w:hint="eastAsia" w:ascii="宋体" w:hAnsi="宋体" w:eastAsia="宋体" w:cs="宋体"/>
                <w:kern w:val="2"/>
                <w:sz w:val="21"/>
                <w:szCs w:val="21"/>
                <w:lang w:bidi="ar-SA"/>
              </w:rPr>
              <w:t>连接不良、温度过高、线路短路等</w:t>
            </w:r>
            <w:r>
              <w:rPr>
                <w:rFonts w:hint="eastAsia" w:ascii="宋体" w:hAnsi="宋体" w:eastAsia="宋体" w:cs="宋体"/>
                <w:kern w:val="2"/>
                <w:sz w:val="21"/>
                <w:szCs w:val="21"/>
                <w:lang w:val="en-US" w:eastAsia="zh-CN" w:bidi="ar-SA"/>
              </w:rPr>
              <w:t>均</w:t>
            </w:r>
            <w:r>
              <w:rPr>
                <w:rFonts w:hint="eastAsia" w:ascii="宋体" w:hAnsi="宋体" w:eastAsia="宋体" w:cs="宋体"/>
                <w:kern w:val="2"/>
                <w:sz w:val="21"/>
                <w:szCs w:val="21"/>
                <w:lang w:bidi="ar-SA"/>
              </w:rPr>
              <w:t>可能导致高压互锁故障。碰撞可能引发高压线路短路或脱落，触发碰撞开关，导致故障。</w:t>
            </w:r>
          </w:p>
          <w:p w14:paraId="657C7E3E">
            <w:pPr>
              <w:pStyle w:val="23"/>
              <w:numPr>
                <w:ilvl w:val="0"/>
                <w:numId w:val="0"/>
              </w:numPr>
              <w:spacing w:line="360" w:lineRule="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3.故障诊断</w:t>
            </w:r>
          </w:p>
          <w:p w14:paraId="5319CB22">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（1）故障码读取与初步分析 使用诊断仪读取故障码（如VCU或BMS报出的P0A0A11、高压互锁超时等），优先根据代码定位故障模块（如动力电池、电机控制器、充电机等）。</w:t>
            </w:r>
          </w:p>
          <w:p w14:paraId="7F8F54A8">
            <w:pPr>
              <w:pStyle w:val="23"/>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若无故障码，需考虑偶发故障或线路接触不良，需结合物理检查与动态测试 2。</w:t>
            </w:r>
          </w:p>
          <w:p w14:paraId="2FC1BC08">
            <w:pPr>
              <w:numPr>
                <w:ilvl w:val="0"/>
                <w:numId w:val="6"/>
              </w:num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物理检查与排除法</w:t>
            </w:r>
          </w:p>
          <w:p w14:paraId="4611BC40">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高压插件检查：依次检查所有高压连接器（如PTC、DC/DC、充电机、电池包等）是否插接牢固，确认互锁端子无弯曲、断裂或退针。</w:t>
            </w:r>
          </w:p>
          <w:p w14:paraId="60A27F36">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线束状态：观察高压线束（橙色）外观是否破损、变形，重点排查底盘磕碰或安装不当导致的线束损伤。</w:t>
            </w:r>
          </w:p>
          <w:p w14:paraId="6403331A">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盖板与开关：检查高压控制盒盖板是否关闭到位，互锁开关是否因设计或安装问题无法闭合。</w:t>
            </w:r>
          </w:p>
          <w:p w14:paraId="7E021C79">
            <w:pPr>
              <w:pStyle w:val="23"/>
              <w:numPr>
                <w:ilvl w:val="0"/>
                <w:numId w:val="0"/>
              </w:numPr>
              <w:spacing w:line="360" w:lineRule="auto"/>
              <w:ind w:leftChars="20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（3）电路检测</w:t>
            </w:r>
          </w:p>
          <w:p w14:paraId="12045D9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电压/电阻测试：使用万用表测量互锁回路电压。正常状态下，插接时互锁端子应输出低电位（如0V），断开时显示高电位（如12V）。</w:t>
            </w:r>
          </w:p>
          <w:p w14:paraId="52EF8CA1">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分段测量回路电阻，若某段电阻异常（如无穷大或对地短路），可定位故障点（如端子退针或线束破损）。</w:t>
            </w:r>
          </w:p>
          <w:p w14:paraId="1D18921A">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波形检测（PWM检测）：通过示波器检测控制器发送的方波信号是否完整，判断回路中是否存在断路或干扰。</w:t>
            </w:r>
          </w:p>
          <w:p w14:paraId="0130A479">
            <w:pPr>
              <w:pStyle w:val="23"/>
              <w:numPr>
                <w:ilvl w:val="0"/>
                <w:numId w:val="0"/>
              </w:numPr>
              <w:spacing w:line="360" w:lineRule="auto"/>
              <w:ind w:leftChars="20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（4）部件与内部检测</w:t>
            </w:r>
          </w:p>
          <w:p w14:paraId="4983FCE8">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若外部线路正常，需排查高压部件内部故障（如动力电池内部互锁回路异常、电机控制器PEU线路损坏）。使用绝缘检测仪验证高压部件绝缘性能，避免因漏电引发误报 。</w:t>
            </w:r>
          </w:p>
          <w:p w14:paraId="17C4F31A">
            <w:pPr>
              <w:numPr>
                <w:ilvl w:val="0"/>
                <w:numId w:val="0"/>
              </w:numPr>
              <w:bidi w:val="0"/>
              <w:spacing w:line="360" w:lineRule="auto"/>
              <w:rPr>
                <w:rFonts w:hint="eastAsia" w:ascii="宋体" w:hAnsi="宋体" w:eastAsia="宋体" w:cs="宋体"/>
                <w:kern w:val="2"/>
                <w:sz w:val="21"/>
                <w:szCs w:val="21"/>
                <w:lang w:val="en-US" w:eastAsia="zh-CN" w:bidi="ar-SA"/>
              </w:rPr>
            </w:pPr>
          </w:p>
        </w:tc>
      </w:tr>
      <w:tr w14:paraId="1808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41B0D1A">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34CC41C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1F1FB03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20A86B4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29F47D94">
      <w:pPr>
        <w:rPr>
          <w:rFonts w:hint="eastAsia" w:ascii="宋体" w:hAnsi="宋体" w:eastAsia="宋体" w:cs="宋体"/>
          <w:color w:val="000000" w:themeColor="text1"/>
          <w:highlight w:val="yellow"/>
          <w:lang w:val="en-US" w:eastAsia="zh-CN"/>
          <w14:textFill>
            <w14:solidFill>
              <w14:schemeClr w14:val="tx1"/>
            </w14:solidFill>
          </w14:textFill>
        </w:rPr>
      </w:pPr>
    </w:p>
    <w:p w14:paraId="3AA706AC">
      <w:pPr>
        <w:pStyle w:val="3"/>
        <w:bidi w:val="0"/>
        <w:rPr>
          <w:rFonts w:hint="default" w:eastAsia="微软雅黑"/>
          <w:lang w:val="en-US" w:eastAsia="zh-CN"/>
        </w:rPr>
      </w:pPr>
      <w:r>
        <w:rPr>
          <w:rFonts w:hint="eastAsia"/>
        </w:rPr>
        <w:t>任务</w:t>
      </w:r>
      <w:r>
        <w:rPr>
          <w:rFonts w:hint="eastAsia"/>
          <w:lang w:val="en-US" w:eastAsia="zh-CN"/>
        </w:rPr>
        <w:t>三</w:t>
      </w:r>
      <w:r>
        <w:rPr>
          <w:rFonts w:hint="eastAsia"/>
        </w:rPr>
        <w:t xml:space="preserve">  </w:t>
      </w:r>
      <w:r>
        <w:rPr>
          <w:rFonts w:hint="eastAsia"/>
          <w:lang w:val="en-US" w:eastAsia="zh-CN"/>
        </w:rPr>
        <w:t>绝缘安全的检测</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3B60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3E603569">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1E33CD3A">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4F9E6DB7">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03DF849F">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60E8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7C1860C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77A080A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w:t>
            </w:r>
            <w:r>
              <w:rPr>
                <w:rFonts w:hint="eastAsia" w:ascii="宋体" w:hAnsi="宋体" w:eastAsia="宋体" w:cs="宋体"/>
                <w:color w:val="000000" w:themeColor="text1"/>
                <w:sz w:val="21"/>
                <w:szCs w:val="21"/>
                <w:lang w:val="en-US" w:eastAsia="zh-CN"/>
                <w14:textFill>
                  <w14:solidFill>
                    <w14:schemeClr w14:val="tx1"/>
                  </w14:solidFill>
                </w14:textFill>
              </w:rPr>
              <w:t>三 绝缘安全的检测</w:t>
            </w:r>
          </w:p>
        </w:tc>
        <w:tc>
          <w:tcPr>
            <w:tcW w:w="735" w:type="pct"/>
            <w:shd w:val="clear" w:color="auto" w:fill="auto"/>
            <w:vAlign w:val="center"/>
          </w:tcPr>
          <w:p w14:paraId="26C40CE2">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3004329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0BA7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26596A0F">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009E1266">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33A0E3DF">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24AAEA2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0E79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45340567">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667B3B66">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1EC1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659B6BDF">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023A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3" w:type="pct"/>
            <w:gridSpan w:val="2"/>
            <w:shd w:val="clear" w:color="auto" w:fill="auto"/>
            <w:vAlign w:val="center"/>
          </w:tcPr>
          <w:p w14:paraId="5EC11F0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412FCE79">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54A6E4C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6C4B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10" w:hRule="atLeast"/>
          <w:jc w:val="center"/>
        </w:trPr>
        <w:tc>
          <w:tcPr>
            <w:tcW w:w="1543" w:type="pct"/>
            <w:gridSpan w:val="2"/>
            <w:shd w:val="clear" w:color="auto" w:fill="auto"/>
            <w:vAlign w:val="center"/>
          </w:tcPr>
          <w:p w14:paraId="103C5D3A">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新能源汽车绝缘检测的要求</w:t>
            </w:r>
          </w:p>
          <w:p w14:paraId="434FD716">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2.</w:t>
            </w:r>
            <w:r>
              <w:rPr>
                <w:rFonts w:hint="eastAsia" w:ascii="宋体" w:hAnsi="宋体" w:eastAsia="宋体" w:cs="宋体"/>
                <w:sz w:val="21"/>
                <w:szCs w:val="21"/>
              </w:rPr>
              <w:t>新能源汽车绝缘检测的方式和等级</w:t>
            </w:r>
          </w:p>
        </w:tc>
        <w:tc>
          <w:tcPr>
            <w:tcW w:w="1776" w:type="pct"/>
            <w:gridSpan w:val="3"/>
            <w:shd w:val="clear" w:color="auto" w:fill="auto"/>
            <w:vAlign w:val="center"/>
          </w:tcPr>
          <w:p w14:paraId="29D154B1">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兆欧表的使用</w:t>
            </w:r>
          </w:p>
          <w:p w14:paraId="4E0BF218">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2.</w:t>
            </w:r>
            <w:r>
              <w:rPr>
                <w:rFonts w:hint="eastAsia" w:ascii="宋体" w:hAnsi="宋体" w:eastAsia="宋体" w:cs="宋体"/>
                <w:sz w:val="21"/>
                <w:szCs w:val="21"/>
              </w:rPr>
              <w:t>新能源汽车绝缘故障的检测</w:t>
            </w:r>
          </w:p>
        </w:tc>
        <w:tc>
          <w:tcPr>
            <w:tcW w:w="1680" w:type="pct"/>
            <w:shd w:val="clear" w:color="auto" w:fill="auto"/>
            <w:vAlign w:val="center"/>
          </w:tcPr>
          <w:p w14:paraId="5FB513BC">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610EC68B">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4987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5000" w:type="pct"/>
            <w:gridSpan w:val="6"/>
            <w:shd w:val="clear" w:color="auto" w:fill="auto"/>
            <w:vAlign w:val="center"/>
          </w:tcPr>
          <w:p w14:paraId="32E16EA1">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3058B38C">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新能源汽车绝缘检测的要求</w:t>
            </w:r>
          </w:p>
          <w:p w14:paraId="3F7780B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新能源汽车绝缘检测的方式和等级</w:t>
            </w:r>
          </w:p>
        </w:tc>
      </w:tr>
      <w:tr w14:paraId="77F8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75268546">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2D190425">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70F0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67A839EB">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6C1415F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76EF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3A69825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0E4B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5515BC6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438A682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56A9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FA721D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003AC857">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sz w:val="21"/>
                <w:szCs w:val="21"/>
                <w:lang w:val="en-US" w:eastAsia="zh-CN"/>
              </w:rPr>
              <w:t>高压绝缘</w:t>
            </w:r>
            <w:r>
              <w:rPr>
                <w:rFonts w:hint="eastAsia" w:ascii="宋体" w:hAnsi="宋体" w:eastAsia="宋体" w:cs="宋体"/>
                <w:b w:val="0"/>
                <w:bCs/>
                <w:sz w:val="21"/>
                <w:szCs w:val="21"/>
              </w:rPr>
              <w:t>要求</w:t>
            </w:r>
          </w:p>
          <w:p w14:paraId="30D4ABC6">
            <w:pPr>
              <w:spacing w:line="360" w:lineRule="auto"/>
              <w:ind w:firstLine="420"/>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新能源汽车高压绝缘要求涉及多个方面，包括绝缘电阻、接触防护、漏电流/电压限制、绝缘监控</w:t>
            </w:r>
            <w:r>
              <w:rPr>
                <w:rFonts w:hint="eastAsia" w:ascii="宋体" w:hAnsi="宋体" w:eastAsia="宋体" w:cs="宋体"/>
                <w:sz w:val="21"/>
                <w:szCs w:val="21"/>
                <w:lang w:val="en-US" w:eastAsia="zh-CN"/>
              </w:rPr>
              <w:t>等</w:t>
            </w:r>
            <w:r>
              <w:rPr>
                <w:rFonts w:hint="eastAsia" w:ascii="宋体" w:hAnsi="宋体" w:eastAsia="宋体" w:cs="宋体"/>
                <w:sz w:val="21"/>
                <w:szCs w:val="21"/>
              </w:rPr>
              <w:t>。</w:t>
            </w:r>
          </w:p>
          <w:p w14:paraId="7987AD3F">
            <w:pPr>
              <w:pStyle w:val="4"/>
              <w:bidi w:val="0"/>
              <w:spacing w:line="360" w:lineRule="auto"/>
              <w:rPr>
                <w:rFonts w:hint="eastAsia" w:ascii="宋体" w:hAnsi="宋体" w:eastAsia="宋体" w:cs="宋体"/>
                <w:b w:val="0"/>
                <w:bCs/>
                <w:sz w:val="21"/>
                <w:szCs w:val="21"/>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sz w:val="21"/>
                <w:szCs w:val="21"/>
                <w:lang w:val="en-US" w:eastAsia="zh-CN"/>
              </w:rPr>
              <w:t>绝缘监测</w:t>
            </w:r>
            <w:r>
              <w:rPr>
                <w:rFonts w:hint="eastAsia" w:ascii="宋体" w:hAnsi="宋体" w:eastAsia="宋体" w:cs="宋体"/>
                <w:b w:val="0"/>
                <w:bCs/>
                <w:sz w:val="21"/>
                <w:szCs w:val="21"/>
              </w:rPr>
              <w:t>原理</w:t>
            </w:r>
          </w:p>
          <w:p w14:paraId="6AAD2576">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为了防止纯电动汽车高压漏电，保护乘客、维修人员等不受高压电的伤害，BMS需要实时检测高压电路的绝缘性能。</w:t>
            </w:r>
          </w:p>
          <w:p w14:paraId="184F066D">
            <w:pPr>
              <w:pStyle w:val="4"/>
              <w:bidi w:val="0"/>
              <w:spacing w:line="360" w:lineRule="auto"/>
              <w:ind w:firstLine="420" w:firstLineChars="200"/>
              <w:rPr>
                <w:rFonts w:hint="eastAsia" w:ascii="宋体" w:hAnsi="宋体" w:eastAsia="宋体" w:cs="宋体"/>
                <w:b w:val="0"/>
                <w:bCs/>
                <w:color w:val="auto"/>
                <w:sz w:val="21"/>
                <w:szCs w:val="21"/>
                <w:lang w:eastAsia="zh-CN"/>
              </w:rPr>
            </w:pPr>
            <w:r>
              <w:rPr>
                <w:rFonts w:hint="eastAsia" w:ascii="宋体" w:hAnsi="宋体" w:eastAsia="宋体" w:cs="宋体"/>
                <w:b w:val="0"/>
                <w:bCs/>
                <w:sz w:val="21"/>
                <w:szCs w:val="21"/>
              </w:rPr>
              <w:t>BMS设计有高压</w:t>
            </w:r>
            <w:r>
              <w:rPr>
                <w:rFonts w:hint="eastAsia" w:ascii="宋体" w:hAnsi="宋体" w:eastAsia="宋体" w:cs="宋体"/>
                <w:b w:val="0"/>
                <w:bCs/>
                <w:sz w:val="21"/>
                <w:szCs w:val="21"/>
                <w:lang w:eastAsia="zh-CN"/>
              </w:rPr>
              <w:t>漏电监测</w:t>
            </w:r>
            <w:r>
              <w:rPr>
                <w:rFonts w:hint="eastAsia" w:ascii="宋体" w:hAnsi="宋体" w:eastAsia="宋体" w:cs="宋体"/>
                <w:b w:val="0"/>
                <w:bCs/>
                <w:sz w:val="21"/>
                <w:szCs w:val="21"/>
              </w:rPr>
              <w:t>设备</w:t>
            </w:r>
            <w:r>
              <w:rPr>
                <w:rFonts w:hint="eastAsia" w:ascii="宋体" w:hAnsi="宋体" w:eastAsia="宋体" w:cs="宋体"/>
                <w:b w:val="0"/>
                <w:bCs/>
                <w:color w:val="000000" w:themeColor="text1"/>
                <w:sz w:val="21"/>
                <w:szCs w:val="21"/>
                <w14:textFill>
                  <w14:solidFill>
                    <w14:schemeClr w14:val="tx1"/>
                  </w14:solidFill>
                </w14:textFill>
              </w:rPr>
              <w:t>。高压漏电检测设备的电路来检</w:t>
            </w:r>
            <w:r>
              <w:rPr>
                <w:rFonts w:hint="eastAsia" w:ascii="宋体" w:hAnsi="宋体" w:eastAsia="宋体" w:cs="宋体"/>
                <w:b w:val="0"/>
                <w:bCs/>
                <w:color w:val="auto"/>
                <w:sz w:val="21"/>
                <w:szCs w:val="21"/>
              </w:rPr>
              <w:t>测</w:t>
            </w:r>
            <w:r>
              <w:rPr>
                <w:rFonts w:hint="eastAsia" w:ascii="宋体" w:hAnsi="宋体" w:eastAsia="宋体" w:cs="宋体"/>
                <w:b w:val="0"/>
                <w:bCs/>
                <w:color w:val="auto"/>
                <w:sz w:val="21"/>
                <w:szCs w:val="21"/>
                <w:lang w:val="en-US" w:eastAsia="zh-CN"/>
              </w:rPr>
              <w:t>动力</w:t>
            </w:r>
            <w:r>
              <w:rPr>
                <w:rFonts w:hint="eastAsia" w:ascii="宋体" w:hAnsi="宋体" w:eastAsia="宋体" w:cs="宋体"/>
                <w:b w:val="0"/>
                <w:bCs/>
                <w:color w:val="auto"/>
                <w:sz w:val="21"/>
                <w:szCs w:val="21"/>
              </w:rPr>
              <w:t>蓄电池内部总正接触器、总负接触器与底盘的绝缘电阻</w:t>
            </w:r>
            <w:r>
              <w:rPr>
                <w:rFonts w:hint="eastAsia" w:ascii="宋体" w:hAnsi="宋体" w:eastAsia="宋体" w:cs="宋体"/>
                <w:b w:val="0"/>
                <w:bCs/>
                <w:color w:val="auto"/>
                <w:sz w:val="21"/>
                <w:szCs w:val="21"/>
                <w:lang w:eastAsia="zh-CN"/>
              </w:rPr>
              <w:t>。</w:t>
            </w:r>
          </w:p>
          <w:p w14:paraId="06670517">
            <w:pPr>
              <w:spacing w:line="360" w:lineRule="auto"/>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801360" cy="4706620"/>
                  <wp:effectExtent l="0" t="0" r="8890" b="17780"/>
                  <wp:docPr id="3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IMG_256"/>
                          <pic:cNvPicPr>
                            <a:picLocks noChangeAspect="1"/>
                          </pic:cNvPicPr>
                        </pic:nvPicPr>
                        <pic:blipFill>
                          <a:blip r:embed="rId20"/>
                          <a:stretch>
                            <a:fillRect/>
                          </a:stretch>
                        </pic:blipFill>
                        <pic:spPr>
                          <a:xfrm>
                            <a:off x="0" y="0"/>
                            <a:ext cx="5801360" cy="4706620"/>
                          </a:xfrm>
                          <a:prstGeom prst="rect">
                            <a:avLst/>
                          </a:prstGeom>
                          <a:noFill/>
                          <a:ln w="9525">
                            <a:noFill/>
                          </a:ln>
                        </pic:spPr>
                      </pic:pic>
                    </a:graphicData>
                  </a:graphic>
                </wp:inline>
              </w:drawing>
            </w:r>
          </w:p>
          <w:p w14:paraId="2D5ED01A">
            <w:pPr>
              <w:spacing w:line="360" w:lineRule="auto"/>
              <w:rPr>
                <w:rFonts w:ascii="宋体" w:hAnsi="宋体" w:eastAsia="宋体" w:cs="宋体"/>
                <w:sz w:val="24"/>
                <w:szCs w:val="24"/>
              </w:rPr>
            </w:pPr>
            <w:r>
              <w:rPr>
                <w:color w:val="000000" w:themeColor="text1"/>
                <w:lang w:val="en-US"/>
                <w14:textFill>
                  <w14:solidFill>
                    <w14:schemeClr w14:val="tx1"/>
                  </w14:solidFill>
                </w14:textFill>
              </w:rPr>
              <w:drawing>
                <wp:inline distT="0" distB="0" distL="114300" distR="114300">
                  <wp:extent cx="5330825" cy="2481580"/>
                  <wp:effectExtent l="0" t="0" r="3175" b="13970"/>
                  <wp:docPr id="11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9"/>
                          <pic:cNvPicPr>
                            <a:picLocks noChangeAspect="1"/>
                          </pic:cNvPicPr>
                        </pic:nvPicPr>
                        <pic:blipFill>
                          <a:blip r:embed="rId21" cstate="print"/>
                          <a:stretch>
                            <a:fillRect/>
                          </a:stretch>
                        </pic:blipFill>
                        <pic:spPr>
                          <a:xfrm>
                            <a:off x="0" y="0"/>
                            <a:ext cx="5330825" cy="2481580"/>
                          </a:xfrm>
                          <a:prstGeom prst="rect">
                            <a:avLst/>
                          </a:prstGeom>
                          <a:noFill/>
                          <a:ln>
                            <a:noFill/>
                          </a:ln>
                        </pic:spPr>
                      </pic:pic>
                    </a:graphicData>
                  </a:graphic>
                </wp:inline>
              </w:drawing>
            </w:r>
          </w:p>
          <w:p w14:paraId="43A4561D">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若检测高压绝缘电阻低于安全值，BMS会通过降低动力蓄电池输出功率、切断高压电路等措施避免漏电引起的触电事故，并通过VCU使仪表点亮警告灯或文字提示，漏电数据判定见表2-1。</w:t>
            </w:r>
          </w:p>
          <w:tbl>
            <w:tblPr>
              <w:tblStyle w:val="9"/>
              <w:tblW w:w="8164" w:type="dxa"/>
              <w:tblInd w:w="51" w:type="dxa"/>
              <w:tblLayout w:type="fixed"/>
              <w:tblCellMar>
                <w:top w:w="0" w:type="dxa"/>
                <w:left w:w="0" w:type="dxa"/>
                <w:bottom w:w="0" w:type="dxa"/>
                <w:right w:w="0" w:type="dxa"/>
              </w:tblCellMar>
            </w:tblPr>
            <w:tblGrid>
              <w:gridCol w:w="2177"/>
              <w:gridCol w:w="1074"/>
              <w:gridCol w:w="903"/>
              <w:gridCol w:w="4010"/>
            </w:tblGrid>
            <w:tr w14:paraId="12B53B86">
              <w:tblPrEx>
                <w:tblCellMar>
                  <w:top w:w="0" w:type="dxa"/>
                  <w:left w:w="0" w:type="dxa"/>
                  <w:bottom w:w="0" w:type="dxa"/>
                  <w:right w:w="0" w:type="dxa"/>
                </w:tblCellMar>
              </w:tblPrEx>
              <w:trPr>
                <w:trHeight w:val="60" w:hRule="atLeast"/>
              </w:trPr>
              <w:tc>
                <w:tcPr>
                  <w:tcW w:w="2177" w:type="dxa"/>
                  <w:tcBorders>
                    <w:top w:val="single" w:color="000000" w:sz="6" w:space="0"/>
                    <w:left w:val="single" w:color="000000" w:sz="6" w:space="0"/>
                    <w:bottom w:val="single" w:color="000000" w:sz="4" w:space="0"/>
                    <w:right w:val="single" w:color="000000" w:sz="4" w:space="0"/>
                    <w:tl2br w:val="nil"/>
                    <w:tr2bl w:val="nil"/>
                  </w:tcBorders>
                  <w:shd w:val="solid" w:color="D3ECFB" w:fill="auto"/>
                  <w:noWrap/>
                  <w:tcMar>
                    <w:top w:w="51" w:type="dxa"/>
                    <w:left w:w="51" w:type="dxa"/>
                    <w:bottom w:w="51" w:type="dxa"/>
                    <w:right w:w="51" w:type="dxa"/>
                  </w:tcMar>
                  <w:vAlign w:val="center"/>
                </w:tcPr>
                <w:p w14:paraId="7C079CD9">
                  <w:pPr>
                    <w:pStyle w:val="24"/>
                    <w:spacing w:line="36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R：高压回路正极或负极对车身地等效绝缘电阻值</w:t>
                  </w:r>
                </w:p>
              </w:tc>
              <w:tc>
                <w:tcPr>
                  <w:tcW w:w="1074" w:type="dxa"/>
                  <w:tcBorders>
                    <w:top w:val="single" w:color="000000" w:sz="6" w:space="0"/>
                    <w:left w:val="single" w:color="000000" w:sz="4" w:space="0"/>
                    <w:bottom w:val="single" w:color="000000" w:sz="4" w:space="0"/>
                    <w:right w:val="single" w:color="000000" w:sz="4" w:space="0"/>
                    <w:tl2br w:val="nil"/>
                    <w:tr2bl w:val="nil"/>
                  </w:tcBorders>
                  <w:shd w:val="solid" w:color="D3ECFB" w:fill="auto"/>
                  <w:noWrap/>
                  <w:tcMar>
                    <w:top w:w="51" w:type="dxa"/>
                    <w:left w:w="51" w:type="dxa"/>
                    <w:bottom w:w="51" w:type="dxa"/>
                    <w:right w:w="51" w:type="dxa"/>
                  </w:tcMar>
                  <w:vAlign w:val="center"/>
                </w:tcPr>
                <w:p w14:paraId="78DDDD47">
                  <w:pPr>
                    <w:pStyle w:val="24"/>
                    <w:spacing w:line="36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漏电状态</w:t>
                  </w:r>
                </w:p>
              </w:tc>
              <w:tc>
                <w:tcPr>
                  <w:tcW w:w="4913" w:type="dxa"/>
                  <w:gridSpan w:val="2"/>
                  <w:tcBorders>
                    <w:top w:val="single" w:color="000000" w:sz="6" w:space="0"/>
                    <w:left w:val="single" w:color="000000" w:sz="4" w:space="0"/>
                    <w:bottom w:val="single" w:color="000000" w:sz="4" w:space="0"/>
                    <w:right w:val="single" w:color="000000" w:sz="4" w:space="0"/>
                    <w:tl2br w:val="nil"/>
                    <w:tr2bl w:val="nil"/>
                  </w:tcBorders>
                  <w:shd w:val="solid" w:color="D3ECFB" w:fill="auto"/>
                  <w:noWrap/>
                  <w:tcMar>
                    <w:top w:w="51" w:type="dxa"/>
                    <w:left w:w="51" w:type="dxa"/>
                    <w:bottom w:w="51" w:type="dxa"/>
                    <w:right w:w="51" w:type="dxa"/>
                  </w:tcMar>
                  <w:vAlign w:val="center"/>
                </w:tcPr>
                <w:p w14:paraId="5BA24212">
                  <w:pPr>
                    <w:pStyle w:val="24"/>
                    <w:spacing w:line="36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措施</w:t>
                  </w:r>
                </w:p>
              </w:tc>
            </w:tr>
            <w:tr w14:paraId="06339970">
              <w:tblPrEx>
                <w:tblCellMar>
                  <w:top w:w="0" w:type="dxa"/>
                  <w:left w:w="0" w:type="dxa"/>
                  <w:bottom w:w="0" w:type="dxa"/>
                  <w:right w:w="0" w:type="dxa"/>
                </w:tblCellMar>
              </w:tblPrEx>
              <w:trPr>
                <w:trHeight w:val="60" w:hRule="atLeast"/>
              </w:trPr>
              <w:tc>
                <w:tcPr>
                  <w:tcW w:w="2177" w:type="dxa"/>
                  <w:tcBorders>
                    <w:top w:val="single" w:color="000000" w:sz="4" w:space="0"/>
                    <w:left w:val="single" w:color="000000" w:sz="6" w:space="0"/>
                    <w:bottom w:val="single" w:color="000000" w:sz="4" w:space="0"/>
                    <w:right w:val="single" w:color="000000" w:sz="4" w:space="0"/>
                    <w:tl2br w:val="nil"/>
                    <w:tr2bl w:val="nil"/>
                  </w:tcBorders>
                  <w:noWrap/>
                  <w:tcMar>
                    <w:top w:w="51" w:type="dxa"/>
                    <w:left w:w="51" w:type="dxa"/>
                    <w:bottom w:w="51" w:type="dxa"/>
                    <w:right w:w="51" w:type="dxa"/>
                  </w:tcMar>
                  <w:vAlign w:val="center"/>
                </w:tcPr>
                <w:p w14:paraId="65677932">
                  <w:pPr>
                    <w:pStyle w:val="13"/>
                    <w:spacing w:line="36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R</w:t>
                  </w:r>
                  <w:r>
                    <w:rPr>
                      <w:rFonts w:hint="eastAsia"/>
                      <w:color w:val="000000" w:themeColor="text1"/>
                      <w:lang w:eastAsia="zh-CN"/>
                      <w14:textFill>
                        <w14:solidFill>
                          <w14:schemeClr w14:val="tx1"/>
                        </w14:solidFill>
                      </w14:textFill>
                    </w:rPr>
                    <w:t>&gt;</w:t>
                  </w:r>
                  <w:r>
                    <w:rPr>
                      <w:color w:val="000000" w:themeColor="text1"/>
                      <w14:textFill>
                        <w14:solidFill>
                          <w14:schemeClr w14:val="tx1"/>
                        </w14:solidFill>
                      </w14:textFill>
                    </w:rPr>
                    <w:t>500</w:t>
                  </w:r>
                  <w:r>
                    <w:rPr>
                      <w:rFonts w:hint="default" w:ascii="Times New Roman" w:hAnsi="Times New Roman" w:eastAsia="Times New Roman"/>
                      <w:color w:val="000000" w:themeColor="text1"/>
                      <w14:textFill>
                        <w14:solidFill>
                          <w14:schemeClr w14:val="tx1"/>
                        </w14:solidFill>
                      </w14:textFill>
                    </w:rPr>
                    <w:t>Ω</w:t>
                  </w:r>
                  <w:r>
                    <w:rPr>
                      <w:color w:val="000000" w:themeColor="text1"/>
                      <w14:textFill>
                        <w14:solidFill>
                          <w14:schemeClr w14:val="tx1"/>
                        </w14:solidFill>
                      </w14:textFill>
                    </w:rPr>
                    <w:t>/V</w:t>
                  </w:r>
                </w:p>
              </w:tc>
              <w:tc>
                <w:tcPr>
                  <w:tcW w:w="1074" w:type="dxa"/>
                  <w:tcBorders>
                    <w:top w:val="single" w:color="000000" w:sz="4" w:space="0"/>
                    <w:left w:val="single" w:color="000000" w:sz="4" w:space="0"/>
                    <w:bottom w:val="single" w:color="000000" w:sz="4" w:space="0"/>
                    <w:right w:val="single" w:color="000000" w:sz="4" w:space="0"/>
                    <w:tl2br w:val="nil"/>
                    <w:tr2bl w:val="nil"/>
                  </w:tcBorders>
                  <w:noWrap/>
                  <w:tcMar>
                    <w:top w:w="51" w:type="dxa"/>
                    <w:left w:w="51" w:type="dxa"/>
                    <w:bottom w:w="51" w:type="dxa"/>
                    <w:right w:w="51" w:type="dxa"/>
                  </w:tcMar>
                  <w:vAlign w:val="center"/>
                </w:tcPr>
                <w:p w14:paraId="7A9B306F">
                  <w:pPr>
                    <w:pStyle w:val="13"/>
                    <w:spacing w:line="36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正常</w:t>
                  </w:r>
                </w:p>
              </w:tc>
              <w:tc>
                <w:tcPr>
                  <w:tcW w:w="4913" w:type="dxa"/>
                  <w:gridSpan w:val="2"/>
                  <w:tcBorders>
                    <w:top w:val="single" w:color="000000" w:sz="4" w:space="0"/>
                    <w:left w:val="single" w:color="000000" w:sz="4" w:space="0"/>
                    <w:bottom w:val="single" w:color="000000" w:sz="4" w:space="0"/>
                    <w:right w:val="single" w:color="000000" w:sz="4" w:space="0"/>
                    <w:tl2br w:val="nil"/>
                    <w:tr2bl w:val="nil"/>
                  </w:tcBorders>
                  <w:noWrap/>
                  <w:tcMar>
                    <w:top w:w="51" w:type="dxa"/>
                    <w:left w:w="51" w:type="dxa"/>
                    <w:bottom w:w="51" w:type="dxa"/>
                    <w:right w:w="51" w:type="dxa"/>
                  </w:tcMar>
                  <w:vAlign w:val="center"/>
                </w:tcPr>
                <w:p w14:paraId="1D04866A">
                  <w:pPr>
                    <w:pStyle w:val="13"/>
                    <w:spacing w:line="36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无</w:t>
                  </w:r>
                </w:p>
              </w:tc>
            </w:tr>
            <w:tr w14:paraId="5DBA61B7">
              <w:tblPrEx>
                <w:tblCellMar>
                  <w:top w:w="0" w:type="dxa"/>
                  <w:left w:w="0" w:type="dxa"/>
                  <w:bottom w:w="0" w:type="dxa"/>
                  <w:right w:w="0" w:type="dxa"/>
                </w:tblCellMar>
              </w:tblPrEx>
              <w:trPr>
                <w:trHeight w:val="60" w:hRule="atLeast"/>
              </w:trPr>
              <w:tc>
                <w:tcPr>
                  <w:tcW w:w="2177" w:type="dxa"/>
                  <w:tcBorders>
                    <w:top w:val="single" w:color="000000" w:sz="4" w:space="0"/>
                    <w:left w:val="single" w:color="000000" w:sz="6" w:space="0"/>
                    <w:bottom w:val="single" w:color="000000" w:sz="4" w:space="0"/>
                    <w:right w:val="single" w:color="000000" w:sz="4" w:space="0"/>
                    <w:tl2br w:val="nil"/>
                    <w:tr2bl w:val="nil"/>
                  </w:tcBorders>
                  <w:noWrap/>
                  <w:tcMar>
                    <w:top w:w="51" w:type="dxa"/>
                    <w:left w:w="51" w:type="dxa"/>
                    <w:bottom w:w="51" w:type="dxa"/>
                    <w:right w:w="51" w:type="dxa"/>
                  </w:tcMar>
                  <w:vAlign w:val="center"/>
                </w:tcPr>
                <w:p w14:paraId="1899B142">
                  <w:pPr>
                    <w:pStyle w:val="13"/>
                    <w:spacing w:line="36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100</w:t>
                  </w:r>
                  <w:r>
                    <w:rPr>
                      <w:rFonts w:hint="default" w:ascii="Times New Roman" w:hAnsi="Times New Roman" w:eastAsia="Times New Roman"/>
                      <w:color w:val="000000" w:themeColor="text1"/>
                      <w14:textFill>
                        <w14:solidFill>
                          <w14:schemeClr w14:val="tx1"/>
                        </w14:solidFill>
                      </w14:textFill>
                    </w:rPr>
                    <w:t>Ω</w:t>
                  </w:r>
                  <w:r>
                    <w:rPr>
                      <w:color w:val="000000" w:themeColor="text1"/>
                      <w14:textFill>
                        <w14:solidFill>
                          <w14:schemeClr w14:val="tx1"/>
                        </w14:solidFill>
                      </w14:textFill>
                    </w:rPr>
                    <w:t>/V</w:t>
                  </w:r>
                  <w:r>
                    <w:rPr>
                      <w:rFonts w:hint="eastAsia"/>
                      <w:color w:val="000000" w:themeColor="text1"/>
                      <w:lang w:eastAsia="zh-CN"/>
                      <w14:textFill>
                        <w14:solidFill>
                          <w14:schemeClr w14:val="tx1"/>
                        </w14:solidFill>
                      </w14:textFill>
                    </w:rPr>
                    <w:t>&lt;</w:t>
                  </w:r>
                  <w:r>
                    <w:rPr>
                      <w:color w:val="000000" w:themeColor="text1"/>
                      <w14:textFill>
                        <w14:solidFill>
                          <w14:schemeClr w14:val="tx1"/>
                        </w14:solidFill>
                      </w14:textFill>
                    </w:rPr>
                    <w:t>R</w:t>
                  </w:r>
                  <w:r>
                    <w:rPr>
                      <w:rFonts w:ascii="方正书宋_GBK" w:hAnsi="方正书宋_GBK" w:eastAsia="方正书宋_GBK"/>
                      <w:color w:val="000000" w:themeColor="text1"/>
                      <w14:textFill>
                        <w14:solidFill>
                          <w14:schemeClr w14:val="tx1"/>
                        </w14:solidFill>
                      </w14:textFill>
                    </w:rPr>
                    <w:t>≤</w:t>
                  </w:r>
                  <w:r>
                    <w:rPr>
                      <w:color w:val="000000" w:themeColor="text1"/>
                      <w14:textFill>
                        <w14:solidFill>
                          <w14:schemeClr w14:val="tx1"/>
                        </w14:solidFill>
                      </w14:textFill>
                    </w:rPr>
                    <w:t>500</w:t>
                  </w:r>
                  <w:r>
                    <w:rPr>
                      <w:rFonts w:hint="default" w:ascii="Times New Roman" w:hAnsi="Times New Roman" w:eastAsia="Times New Roman"/>
                      <w:color w:val="000000" w:themeColor="text1"/>
                      <w14:textFill>
                        <w14:solidFill>
                          <w14:schemeClr w14:val="tx1"/>
                        </w14:solidFill>
                      </w14:textFill>
                    </w:rPr>
                    <w:t>Ω</w:t>
                  </w:r>
                  <w:r>
                    <w:rPr>
                      <w:color w:val="000000" w:themeColor="text1"/>
                      <w14:textFill>
                        <w14:solidFill>
                          <w14:schemeClr w14:val="tx1"/>
                        </w14:solidFill>
                      </w14:textFill>
                    </w:rPr>
                    <w:t>/V</w:t>
                  </w:r>
                </w:p>
              </w:tc>
              <w:tc>
                <w:tcPr>
                  <w:tcW w:w="1074" w:type="dxa"/>
                  <w:tcBorders>
                    <w:top w:val="single" w:color="000000" w:sz="4" w:space="0"/>
                    <w:left w:val="single" w:color="000000" w:sz="4" w:space="0"/>
                    <w:bottom w:val="single" w:color="000000" w:sz="4" w:space="0"/>
                    <w:right w:val="single" w:color="000000" w:sz="4" w:space="0"/>
                    <w:tl2br w:val="nil"/>
                    <w:tr2bl w:val="nil"/>
                  </w:tcBorders>
                  <w:noWrap/>
                  <w:tcMar>
                    <w:top w:w="51" w:type="dxa"/>
                    <w:left w:w="51" w:type="dxa"/>
                    <w:bottom w:w="51" w:type="dxa"/>
                    <w:right w:w="51" w:type="dxa"/>
                  </w:tcMar>
                  <w:vAlign w:val="center"/>
                </w:tcPr>
                <w:p w14:paraId="467F785B">
                  <w:pPr>
                    <w:pStyle w:val="13"/>
                    <w:spacing w:line="36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一般漏电报警</w:t>
                  </w:r>
                </w:p>
              </w:tc>
              <w:tc>
                <w:tcPr>
                  <w:tcW w:w="4913" w:type="dxa"/>
                  <w:gridSpan w:val="2"/>
                  <w:tcBorders>
                    <w:top w:val="single" w:color="000000" w:sz="4" w:space="0"/>
                    <w:left w:val="single" w:color="000000" w:sz="4" w:space="0"/>
                    <w:bottom w:val="single" w:color="000000" w:sz="4" w:space="0"/>
                    <w:right w:val="single" w:color="000000" w:sz="4" w:space="0"/>
                    <w:tl2br w:val="nil"/>
                    <w:tr2bl w:val="nil"/>
                  </w:tcBorders>
                  <w:noWrap/>
                  <w:tcMar>
                    <w:top w:w="51" w:type="dxa"/>
                    <w:left w:w="51" w:type="dxa"/>
                    <w:bottom w:w="51" w:type="dxa"/>
                    <w:right w:w="51" w:type="dxa"/>
                  </w:tcMar>
                  <w:vAlign w:val="center"/>
                </w:tcPr>
                <w:p w14:paraId="3FE27B7A">
                  <w:pPr>
                    <w:pStyle w:val="13"/>
                    <w:spacing w:line="36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仪表灯亮，报动力系统故障</w:t>
                  </w:r>
                </w:p>
              </w:tc>
            </w:tr>
            <w:tr w14:paraId="7F20E085">
              <w:tblPrEx>
                <w:tblCellMar>
                  <w:top w:w="0" w:type="dxa"/>
                  <w:left w:w="0" w:type="dxa"/>
                  <w:bottom w:w="0" w:type="dxa"/>
                  <w:right w:w="0" w:type="dxa"/>
                </w:tblCellMar>
              </w:tblPrEx>
              <w:trPr>
                <w:trHeight w:val="60" w:hRule="atLeast"/>
              </w:trPr>
              <w:tc>
                <w:tcPr>
                  <w:tcW w:w="2177" w:type="dxa"/>
                  <w:vMerge w:val="restart"/>
                  <w:tcBorders>
                    <w:top w:val="single" w:color="000000" w:sz="4" w:space="0"/>
                    <w:left w:val="single" w:color="000000" w:sz="6" w:space="0"/>
                    <w:bottom w:val="single" w:color="000000" w:sz="4" w:space="0"/>
                    <w:right w:val="single" w:color="000000" w:sz="4" w:space="0"/>
                    <w:tl2br w:val="nil"/>
                    <w:tr2bl w:val="nil"/>
                  </w:tcBorders>
                  <w:noWrap/>
                  <w:tcMar>
                    <w:top w:w="51" w:type="dxa"/>
                    <w:left w:w="51" w:type="dxa"/>
                    <w:bottom w:w="51" w:type="dxa"/>
                    <w:right w:w="51" w:type="dxa"/>
                  </w:tcMar>
                  <w:vAlign w:val="center"/>
                </w:tcPr>
                <w:p w14:paraId="4901175C">
                  <w:pPr>
                    <w:pStyle w:val="13"/>
                    <w:spacing w:line="36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R</w:t>
                  </w:r>
                  <w:r>
                    <w:rPr>
                      <w:rFonts w:hint="eastAsia"/>
                      <w:color w:val="000000" w:themeColor="text1"/>
                      <w:lang w:eastAsia="zh-CN"/>
                      <w14:textFill>
                        <w14:solidFill>
                          <w14:schemeClr w14:val="tx1"/>
                        </w14:solidFill>
                      </w14:textFill>
                    </w:rPr>
                    <w:t>&lt;</w:t>
                  </w:r>
                  <w:r>
                    <w:rPr>
                      <w:color w:val="000000" w:themeColor="text1"/>
                      <w14:textFill>
                        <w14:solidFill>
                          <w14:schemeClr w14:val="tx1"/>
                        </w14:solidFill>
                      </w14:textFill>
                    </w:rPr>
                    <w:t>100</w:t>
                  </w:r>
                  <w:r>
                    <w:rPr>
                      <w:rFonts w:hint="default" w:ascii="Times New Roman" w:hAnsi="Times New Roman" w:eastAsia="Times New Roman"/>
                      <w:color w:val="000000" w:themeColor="text1"/>
                      <w14:textFill>
                        <w14:solidFill>
                          <w14:schemeClr w14:val="tx1"/>
                        </w14:solidFill>
                      </w14:textFill>
                    </w:rPr>
                    <w:t>Ω</w:t>
                  </w:r>
                  <w:r>
                    <w:rPr>
                      <w:color w:val="000000" w:themeColor="text1"/>
                      <w14:textFill>
                        <w14:solidFill>
                          <w14:schemeClr w14:val="tx1"/>
                        </w14:solidFill>
                      </w14:textFill>
                    </w:rPr>
                    <w:t>/V</w:t>
                  </w:r>
                </w:p>
              </w:tc>
              <w:tc>
                <w:tcPr>
                  <w:tcW w:w="1074" w:type="dxa"/>
                  <w:vMerge w:val="restart"/>
                  <w:tcBorders>
                    <w:top w:val="single" w:color="000000" w:sz="4" w:space="0"/>
                    <w:left w:val="single" w:color="000000" w:sz="4" w:space="0"/>
                    <w:bottom w:val="single" w:color="000000" w:sz="4" w:space="0"/>
                    <w:right w:val="single" w:color="000000" w:sz="4" w:space="0"/>
                    <w:tl2br w:val="nil"/>
                    <w:tr2bl w:val="nil"/>
                  </w:tcBorders>
                  <w:noWrap/>
                  <w:tcMar>
                    <w:top w:w="51" w:type="dxa"/>
                    <w:left w:w="51" w:type="dxa"/>
                    <w:bottom w:w="51" w:type="dxa"/>
                    <w:right w:w="51" w:type="dxa"/>
                  </w:tcMar>
                  <w:vAlign w:val="center"/>
                </w:tcPr>
                <w:p w14:paraId="2AAB5786">
                  <w:pPr>
                    <w:pStyle w:val="13"/>
                    <w:spacing w:line="36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严重漏电报警</w:t>
                  </w:r>
                </w:p>
              </w:tc>
              <w:tc>
                <w:tcPr>
                  <w:tcW w:w="903" w:type="dxa"/>
                  <w:tcBorders>
                    <w:top w:val="single" w:color="000000" w:sz="4" w:space="0"/>
                    <w:left w:val="single" w:color="000000" w:sz="4" w:space="0"/>
                    <w:bottom w:val="single" w:color="000000" w:sz="4" w:space="0"/>
                    <w:right w:val="single" w:color="000000" w:sz="4" w:space="0"/>
                    <w:tl2br w:val="nil"/>
                    <w:tr2bl w:val="nil"/>
                  </w:tcBorders>
                  <w:noWrap/>
                  <w:tcMar>
                    <w:top w:w="51" w:type="dxa"/>
                    <w:left w:w="51" w:type="dxa"/>
                    <w:bottom w:w="51" w:type="dxa"/>
                    <w:right w:w="51" w:type="dxa"/>
                  </w:tcMar>
                  <w:vAlign w:val="center"/>
                </w:tcPr>
                <w:p w14:paraId="784A02AC">
                  <w:pPr>
                    <w:pStyle w:val="13"/>
                    <w:spacing w:line="36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行车中</w:t>
                  </w:r>
                </w:p>
              </w:tc>
              <w:tc>
                <w:tcPr>
                  <w:tcW w:w="4010" w:type="dxa"/>
                  <w:tcBorders>
                    <w:top w:val="single" w:color="000000" w:sz="4" w:space="0"/>
                    <w:left w:val="single" w:color="000000" w:sz="4" w:space="0"/>
                    <w:bottom w:val="single" w:color="000000" w:sz="4" w:space="0"/>
                    <w:right w:val="single" w:color="000000" w:sz="6" w:space="0"/>
                    <w:tl2br w:val="nil"/>
                    <w:tr2bl w:val="nil"/>
                  </w:tcBorders>
                  <w:noWrap/>
                  <w:tcMar>
                    <w:top w:w="51" w:type="dxa"/>
                    <w:left w:w="51" w:type="dxa"/>
                    <w:bottom w:w="51" w:type="dxa"/>
                    <w:right w:w="51" w:type="dxa"/>
                  </w:tcMar>
                  <w:vAlign w:val="center"/>
                </w:tcPr>
                <w:p w14:paraId="42909102">
                  <w:pPr>
                    <w:pStyle w:val="13"/>
                    <w:spacing w:line="360" w:lineRule="auto"/>
                    <w:jc w:val="both"/>
                    <w:rPr>
                      <w:rFonts w:hint="default"/>
                      <w:color w:val="000000" w:themeColor="text1"/>
                      <w14:textFill>
                        <w14:solidFill>
                          <w14:schemeClr w14:val="tx1"/>
                        </w14:solidFill>
                      </w14:textFill>
                    </w:rPr>
                  </w:pPr>
                  <w:r>
                    <w:rPr>
                      <w:color w:val="000000" w:themeColor="text1"/>
                      <w14:textFill>
                        <w14:solidFill>
                          <w14:schemeClr w14:val="tx1"/>
                        </w14:solidFill>
                      </w14:textFill>
                    </w:rPr>
                    <w:t>仪表灯亮，断开主接触器、</w:t>
                  </w:r>
                  <w:r>
                    <w:rPr>
                      <w:color w:val="auto"/>
                    </w:rPr>
                    <w:t>分压接触器、</w:t>
                  </w:r>
                  <w:r>
                    <w:rPr>
                      <w:rFonts w:hint="eastAsia"/>
                      <w:color w:val="auto"/>
                      <w:lang w:val="en-US" w:eastAsia="zh-CN"/>
                    </w:rPr>
                    <w:t>动力蓄</w:t>
                  </w:r>
                  <w:r>
                    <w:rPr>
                      <w:color w:val="auto"/>
                    </w:rPr>
                    <w:t>电池内</w:t>
                  </w:r>
                  <w:r>
                    <w:rPr>
                      <w:rFonts w:hint="eastAsia"/>
                      <w:color w:val="auto"/>
                      <w:lang w:val="en-US" w:eastAsia="zh-CN"/>
                    </w:rPr>
                    <w:t>正极</w:t>
                  </w:r>
                  <w:r>
                    <w:rPr>
                      <w:color w:val="auto"/>
                    </w:rPr>
                    <w:t>接触器和负极接触器</w:t>
                  </w:r>
                </w:p>
              </w:tc>
            </w:tr>
            <w:tr w14:paraId="018AA7DE">
              <w:tblPrEx>
                <w:tblCellMar>
                  <w:top w:w="0" w:type="dxa"/>
                  <w:left w:w="0" w:type="dxa"/>
                  <w:bottom w:w="0" w:type="dxa"/>
                  <w:right w:w="0" w:type="dxa"/>
                </w:tblCellMar>
              </w:tblPrEx>
              <w:trPr>
                <w:trHeight w:val="60" w:hRule="atLeast"/>
              </w:trPr>
              <w:tc>
                <w:tcPr>
                  <w:tcW w:w="2177" w:type="dxa"/>
                  <w:vMerge w:val="continue"/>
                  <w:tcBorders>
                    <w:top w:val="single" w:color="000000" w:sz="4" w:space="0"/>
                    <w:left w:val="single" w:color="000000" w:sz="6" w:space="0"/>
                    <w:bottom w:val="single" w:color="000000" w:sz="4" w:space="0"/>
                    <w:right w:val="single" w:color="000000" w:sz="4" w:space="0"/>
                    <w:tl2br w:val="nil"/>
                    <w:tr2bl w:val="nil"/>
                  </w:tcBorders>
                  <w:noWrap/>
                </w:tcPr>
                <w:p w14:paraId="2D5A58A0">
                  <w:pPr>
                    <w:spacing w:line="360" w:lineRule="auto"/>
                    <w:ind w:firstLine="480"/>
                    <w:jc w:val="left"/>
                    <w:rPr>
                      <w:color w:val="000000" w:themeColor="text1"/>
                      <w:sz w:val="24"/>
                      <w:szCs w:val="24"/>
                      <w14:textFill>
                        <w14:solidFill>
                          <w14:schemeClr w14:val="tx1"/>
                        </w14:solidFill>
                      </w14:textFill>
                    </w:rPr>
                  </w:pPr>
                </w:p>
              </w:tc>
              <w:tc>
                <w:tcPr>
                  <w:tcW w:w="1074" w:type="dxa"/>
                  <w:vMerge w:val="continue"/>
                  <w:tcBorders>
                    <w:top w:val="single" w:color="000000" w:sz="4" w:space="0"/>
                    <w:left w:val="single" w:color="000000" w:sz="4" w:space="0"/>
                    <w:bottom w:val="single" w:color="000000" w:sz="4" w:space="0"/>
                    <w:right w:val="single" w:color="000000" w:sz="4" w:space="0"/>
                    <w:tl2br w:val="nil"/>
                    <w:tr2bl w:val="nil"/>
                  </w:tcBorders>
                  <w:noWrap/>
                </w:tcPr>
                <w:p w14:paraId="7797D085">
                  <w:pPr>
                    <w:spacing w:line="360" w:lineRule="auto"/>
                    <w:ind w:firstLine="480"/>
                    <w:jc w:val="left"/>
                    <w:rPr>
                      <w:color w:val="000000" w:themeColor="text1"/>
                      <w:sz w:val="24"/>
                      <w:szCs w:val="24"/>
                      <w14:textFill>
                        <w14:solidFill>
                          <w14:schemeClr w14:val="tx1"/>
                        </w14:solidFill>
                      </w14:textFill>
                    </w:rPr>
                  </w:pPr>
                </w:p>
              </w:tc>
              <w:tc>
                <w:tcPr>
                  <w:tcW w:w="903" w:type="dxa"/>
                  <w:tcBorders>
                    <w:top w:val="single" w:color="000000" w:sz="4" w:space="0"/>
                    <w:left w:val="single" w:color="000000" w:sz="4" w:space="0"/>
                    <w:bottom w:val="single" w:color="000000" w:sz="4" w:space="0"/>
                    <w:right w:val="single" w:color="000000" w:sz="4" w:space="0"/>
                    <w:tl2br w:val="nil"/>
                    <w:tr2bl w:val="nil"/>
                  </w:tcBorders>
                  <w:noWrap/>
                  <w:tcMar>
                    <w:top w:w="51" w:type="dxa"/>
                    <w:left w:w="51" w:type="dxa"/>
                    <w:bottom w:w="51" w:type="dxa"/>
                    <w:right w:w="51" w:type="dxa"/>
                  </w:tcMar>
                  <w:vAlign w:val="center"/>
                </w:tcPr>
                <w:p w14:paraId="4FCEF05D">
                  <w:pPr>
                    <w:pStyle w:val="13"/>
                    <w:spacing w:line="36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停车中</w:t>
                  </w:r>
                </w:p>
              </w:tc>
              <w:tc>
                <w:tcPr>
                  <w:tcW w:w="4010" w:type="dxa"/>
                  <w:tcBorders>
                    <w:top w:val="single" w:color="000000" w:sz="4" w:space="0"/>
                    <w:left w:val="single" w:color="000000" w:sz="4" w:space="0"/>
                    <w:bottom w:val="single" w:color="000000" w:sz="4" w:space="0"/>
                    <w:right w:val="single" w:color="000000" w:sz="6" w:space="0"/>
                    <w:tl2br w:val="nil"/>
                    <w:tr2bl w:val="nil"/>
                  </w:tcBorders>
                  <w:noWrap/>
                  <w:tcMar>
                    <w:top w:w="51" w:type="dxa"/>
                    <w:left w:w="51" w:type="dxa"/>
                    <w:bottom w:w="51" w:type="dxa"/>
                    <w:right w:w="51" w:type="dxa"/>
                  </w:tcMar>
                  <w:vAlign w:val="center"/>
                </w:tcPr>
                <w:p w14:paraId="114BA36D">
                  <w:pPr>
                    <w:pStyle w:val="13"/>
                    <w:spacing w:line="360" w:lineRule="auto"/>
                    <w:jc w:val="both"/>
                    <w:rPr>
                      <w:rFonts w:hint="default"/>
                      <w:color w:val="000000" w:themeColor="text1"/>
                      <w14:textFill>
                        <w14:solidFill>
                          <w14:schemeClr w14:val="tx1"/>
                        </w14:solidFill>
                      </w14:textFill>
                    </w:rPr>
                  </w:pPr>
                  <w:r>
                    <w:rPr>
                      <w:color w:val="000000" w:themeColor="text1"/>
                      <w14:textFill>
                        <w14:solidFill>
                          <w14:schemeClr w14:val="tx1"/>
                        </w14:solidFill>
                      </w14:textFill>
                    </w:rPr>
                    <w:t>1、禁止上电；</w:t>
                  </w:r>
                </w:p>
                <w:p w14:paraId="16D34FF6">
                  <w:pPr>
                    <w:pStyle w:val="13"/>
                    <w:spacing w:line="360" w:lineRule="auto"/>
                    <w:jc w:val="both"/>
                    <w:rPr>
                      <w:rFonts w:hint="default"/>
                      <w:color w:val="000000" w:themeColor="text1"/>
                      <w14:textFill>
                        <w14:solidFill>
                          <w14:schemeClr w14:val="tx1"/>
                        </w14:solidFill>
                      </w14:textFill>
                    </w:rPr>
                  </w:pPr>
                  <w:r>
                    <w:rPr>
                      <w:color w:val="000000" w:themeColor="text1"/>
                      <w14:textFill>
                        <w14:solidFill>
                          <w14:schemeClr w14:val="tx1"/>
                        </w14:solidFill>
                      </w14:textFill>
                    </w:rPr>
                    <w:t>2、仪表灯亮，报动力系统故障</w:t>
                  </w:r>
                </w:p>
              </w:tc>
            </w:tr>
            <w:tr w14:paraId="22142A2B">
              <w:tblPrEx>
                <w:tblCellMar>
                  <w:top w:w="0" w:type="dxa"/>
                  <w:left w:w="0" w:type="dxa"/>
                  <w:bottom w:w="0" w:type="dxa"/>
                  <w:right w:w="0" w:type="dxa"/>
                </w:tblCellMar>
              </w:tblPrEx>
              <w:trPr>
                <w:trHeight w:val="793" w:hRule="atLeast"/>
              </w:trPr>
              <w:tc>
                <w:tcPr>
                  <w:tcW w:w="2177" w:type="dxa"/>
                  <w:vMerge w:val="continue"/>
                  <w:tcBorders>
                    <w:top w:val="single" w:color="000000" w:sz="4" w:space="0"/>
                    <w:left w:val="single" w:color="000000" w:sz="6" w:space="0"/>
                    <w:bottom w:val="single" w:color="000000" w:sz="6" w:space="0"/>
                    <w:right w:val="single" w:color="000000" w:sz="4" w:space="0"/>
                    <w:tl2br w:val="nil"/>
                    <w:tr2bl w:val="nil"/>
                  </w:tcBorders>
                  <w:noWrap/>
                </w:tcPr>
                <w:p w14:paraId="4A8DA637">
                  <w:pPr>
                    <w:spacing w:line="360" w:lineRule="auto"/>
                    <w:ind w:firstLine="480"/>
                    <w:jc w:val="left"/>
                    <w:rPr>
                      <w:color w:val="000000" w:themeColor="text1"/>
                      <w:sz w:val="24"/>
                      <w:szCs w:val="24"/>
                      <w14:textFill>
                        <w14:solidFill>
                          <w14:schemeClr w14:val="tx1"/>
                        </w14:solidFill>
                      </w14:textFill>
                    </w:rPr>
                  </w:pPr>
                </w:p>
              </w:tc>
              <w:tc>
                <w:tcPr>
                  <w:tcW w:w="1074" w:type="dxa"/>
                  <w:vMerge w:val="continue"/>
                  <w:tcBorders>
                    <w:top w:val="single" w:color="000000" w:sz="4" w:space="0"/>
                    <w:left w:val="single" w:color="000000" w:sz="4" w:space="0"/>
                    <w:bottom w:val="single" w:color="000000" w:sz="6" w:space="0"/>
                    <w:right w:val="single" w:color="000000" w:sz="4" w:space="0"/>
                    <w:tl2br w:val="nil"/>
                    <w:tr2bl w:val="nil"/>
                  </w:tcBorders>
                  <w:noWrap/>
                </w:tcPr>
                <w:p w14:paraId="0222010F">
                  <w:pPr>
                    <w:spacing w:line="360" w:lineRule="auto"/>
                    <w:ind w:firstLine="480"/>
                    <w:jc w:val="left"/>
                    <w:rPr>
                      <w:color w:val="000000" w:themeColor="text1"/>
                      <w:sz w:val="24"/>
                      <w:szCs w:val="24"/>
                      <w14:textFill>
                        <w14:solidFill>
                          <w14:schemeClr w14:val="tx1"/>
                        </w14:solidFill>
                      </w14:textFill>
                    </w:rPr>
                  </w:pPr>
                </w:p>
              </w:tc>
              <w:tc>
                <w:tcPr>
                  <w:tcW w:w="903" w:type="dxa"/>
                  <w:tcBorders>
                    <w:top w:val="single" w:color="000000" w:sz="4" w:space="0"/>
                    <w:left w:val="single" w:color="000000" w:sz="4" w:space="0"/>
                    <w:bottom w:val="single" w:color="000000" w:sz="6" w:space="0"/>
                    <w:right w:val="single" w:color="000000" w:sz="4" w:space="0"/>
                    <w:tl2br w:val="nil"/>
                    <w:tr2bl w:val="nil"/>
                  </w:tcBorders>
                  <w:noWrap/>
                  <w:tcMar>
                    <w:top w:w="51" w:type="dxa"/>
                    <w:left w:w="51" w:type="dxa"/>
                    <w:bottom w:w="51" w:type="dxa"/>
                    <w:right w:w="51" w:type="dxa"/>
                  </w:tcMar>
                  <w:vAlign w:val="center"/>
                </w:tcPr>
                <w:p w14:paraId="5C850920">
                  <w:pPr>
                    <w:pStyle w:val="13"/>
                    <w:spacing w:line="36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充电中</w:t>
                  </w:r>
                </w:p>
              </w:tc>
              <w:tc>
                <w:tcPr>
                  <w:tcW w:w="4010" w:type="dxa"/>
                  <w:tcBorders>
                    <w:top w:val="single" w:color="000000" w:sz="4" w:space="0"/>
                    <w:left w:val="single" w:color="000000" w:sz="4" w:space="0"/>
                    <w:bottom w:val="single" w:color="000000" w:sz="6" w:space="0"/>
                    <w:right w:val="single" w:color="000000" w:sz="6" w:space="0"/>
                    <w:tl2br w:val="nil"/>
                    <w:tr2bl w:val="nil"/>
                  </w:tcBorders>
                  <w:noWrap/>
                  <w:tcMar>
                    <w:top w:w="51" w:type="dxa"/>
                    <w:left w:w="51" w:type="dxa"/>
                    <w:bottom w:w="51" w:type="dxa"/>
                    <w:right w:w="51" w:type="dxa"/>
                  </w:tcMar>
                  <w:vAlign w:val="center"/>
                </w:tcPr>
                <w:p w14:paraId="5025F2AE">
                  <w:pPr>
                    <w:pStyle w:val="13"/>
                    <w:spacing w:line="360" w:lineRule="auto"/>
                    <w:jc w:val="both"/>
                    <w:rPr>
                      <w:rFonts w:hint="default"/>
                      <w:color w:val="auto"/>
                    </w:rPr>
                  </w:pPr>
                  <w:r>
                    <w:rPr>
                      <w:color w:val="000000" w:themeColor="text1"/>
                      <w14:textFill>
                        <w14:solidFill>
                          <w14:schemeClr w14:val="tx1"/>
                        </w14:solidFill>
                      </w14:textFill>
                    </w:rPr>
                    <w:t>1、</w:t>
                  </w:r>
                  <w:r>
                    <w:rPr>
                      <w:color w:val="auto"/>
                    </w:rPr>
                    <w:t>断开交流充电接触器、分压接触器、</w:t>
                  </w:r>
                  <w:r>
                    <w:rPr>
                      <w:rFonts w:hint="eastAsia"/>
                      <w:color w:val="auto"/>
                      <w:lang w:val="en-US" w:eastAsia="zh-CN"/>
                    </w:rPr>
                    <w:t>动力蓄</w:t>
                  </w:r>
                  <w:r>
                    <w:rPr>
                      <w:color w:val="auto"/>
                    </w:rPr>
                    <w:t>电池内</w:t>
                  </w:r>
                  <w:r>
                    <w:rPr>
                      <w:rFonts w:hint="eastAsia"/>
                      <w:color w:val="auto"/>
                      <w:lang w:val="en-US" w:eastAsia="zh-CN"/>
                    </w:rPr>
                    <w:t>正极</w:t>
                  </w:r>
                  <w:r>
                    <w:rPr>
                      <w:color w:val="auto"/>
                    </w:rPr>
                    <w:t>接触器和负极接触器；</w:t>
                  </w:r>
                </w:p>
                <w:p w14:paraId="5739BFE0">
                  <w:pPr>
                    <w:pStyle w:val="13"/>
                    <w:spacing w:line="360" w:lineRule="auto"/>
                    <w:jc w:val="both"/>
                    <w:rPr>
                      <w:rFonts w:hint="default"/>
                      <w:color w:val="000000" w:themeColor="text1"/>
                      <w14:textFill>
                        <w14:solidFill>
                          <w14:schemeClr w14:val="tx1"/>
                        </w14:solidFill>
                      </w14:textFill>
                    </w:rPr>
                  </w:pPr>
                  <w:r>
                    <w:rPr>
                      <w:color w:val="auto"/>
                    </w:rPr>
                    <w:t>2、仪表灯亮，报动力系统故障</w:t>
                  </w:r>
                </w:p>
              </w:tc>
            </w:tr>
          </w:tbl>
          <w:p w14:paraId="202180B5">
            <w:pPr>
              <w:spacing w:line="360" w:lineRule="auto"/>
              <w:rPr>
                <w:rFonts w:hint="eastAsia" w:ascii="宋体" w:hAnsi="宋体" w:eastAsia="宋体" w:cs="宋体"/>
                <w:sz w:val="24"/>
                <w:szCs w:val="24"/>
                <w:lang w:val="en-US" w:eastAsia="zh-CN"/>
              </w:rPr>
            </w:pPr>
          </w:p>
          <w:p w14:paraId="526C44E6">
            <w:pPr>
              <w:pStyle w:val="4"/>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3.绝缘检测</w:t>
            </w:r>
            <w:r>
              <w:rPr>
                <w:rFonts w:hint="eastAsia" w:ascii="宋体" w:hAnsi="宋体" w:eastAsia="宋体" w:cs="宋体"/>
                <w:b w:val="0"/>
                <w:bCs/>
                <w:sz w:val="21"/>
                <w:szCs w:val="21"/>
              </w:rPr>
              <w:t>电路</w:t>
            </w:r>
          </w:p>
          <w:p w14:paraId="66CFA49C">
            <w:pPr>
              <w:spacing w:line="360" w:lineRule="auto"/>
              <w:ind w:firstLine="420"/>
              <w:rPr>
                <w:rFonts w:hint="eastAsia" w:ascii="宋体" w:hAnsi="宋体" w:eastAsia="宋体" w:cs="宋体"/>
                <w:sz w:val="21"/>
                <w:szCs w:val="21"/>
              </w:rPr>
            </w:pPr>
            <w:r>
              <w:rPr>
                <w:rFonts w:hint="eastAsia" w:ascii="宋体" w:hAnsi="宋体" w:eastAsia="宋体" w:cs="宋体"/>
                <w:sz w:val="21"/>
                <w:szCs w:val="21"/>
                <w:lang w:val="en-US" w:eastAsia="zh-CN"/>
              </w:rPr>
              <w:t>以</w:t>
            </w:r>
            <w:r>
              <w:rPr>
                <w:rFonts w:hint="eastAsia" w:ascii="宋体" w:hAnsi="宋体" w:eastAsia="宋体" w:cs="宋体"/>
                <w:sz w:val="21"/>
                <w:szCs w:val="21"/>
              </w:rPr>
              <w:t>秦EV漏电检测</w:t>
            </w:r>
            <w:r>
              <w:rPr>
                <w:rFonts w:hint="eastAsia" w:ascii="宋体" w:hAnsi="宋体" w:eastAsia="宋体" w:cs="宋体"/>
                <w:sz w:val="21"/>
                <w:szCs w:val="21"/>
                <w:lang w:val="en-US" w:eastAsia="zh-CN"/>
              </w:rPr>
              <w:t>为例，介绍漏电检测。</w:t>
            </w:r>
            <w:r>
              <w:rPr>
                <w:rFonts w:hint="eastAsia" w:ascii="宋体" w:hAnsi="宋体" w:eastAsia="宋体" w:cs="宋体"/>
                <w:sz w:val="21"/>
                <w:szCs w:val="21"/>
              </w:rPr>
              <w:t>秦EV漏电传感器安装在充配电总成内，通过动力总线与连接整车控制器、仪表、BMC、电机控制器、网关等。当漏电传感器检测到漏电故障后，仪表指示灯点亮、BMC控制正、负极接触器高压断电。</w:t>
            </w:r>
          </w:p>
          <w:p w14:paraId="2D3505B0">
            <w:pPr>
              <w:widowControl w:val="0"/>
              <w:numPr>
                <w:ilvl w:val="0"/>
                <w:numId w:val="0"/>
              </w:numPr>
              <w:spacing w:line="360" w:lineRule="auto"/>
              <w:jc w:val="center"/>
              <w:rPr>
                <w:rFonts w:hint="eastAsia" w:ascii="宋体" w:hAnsi="宋体" w:eastAsia="宋体" w:cs="宋体"/>
                <w:sz w:val="21"/>
                <w:szCs w:val="21"/>
                <w:lang w:val="en-US" w:eastAsia="zh-CN"/>
              </w:rPr>
            </w:pPr>
            <w:r>
              <w:rPr>
                <w:rFonts w:hint="eastAsia" w:ascii="宋体" w:hAnsi="宋体" w:eastAsia="宋体" w:cs="宋体"/>
                <w:color w:val="000000" w:themeColor="text1"/>
                <w:sz w:val="21"/>
                <w:szCs w:val="21"/>
                <w:lang w:val="en-US"/>
                <w14:textFill>
                  <w14:solidFill>
                    <w14:schemeClr w14:val="tx1"/>
                  </w14:solidFill>
                </w14:textFill>
              </w:rPr>
              <w:drawing>
                <wp:inline distT="0" distB="0" distL="114300" distR="114300">
                  <wp:extent cx="5044440" cy="1837055"/>
                  <wp:effectExtent l="0" t="0" r="3810" b="10795"/>
                  <wp:docPr id="112"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0"/>
                          <pic:cNvPicPr>
                            <a:picLocks noChangeAspect="1"/>
                          </pic:cNvPicPr>
                        </pic:nvPicPr>
                        <pic:blipFill>
                          <a:blip r:embed="rId22"/>
                          <a:stretch>
                            <a:fillRect/>
                          </a:stretch>
                        </pic:blipFill>
                        <pic:spPr>
                          <a:xfrm>
                            <a:off x="0" y="0"/>
                            <a:ext cx="5044440" cy="1837055"/>
                          </a:xfrm>
                          <a:prstGeom prst="rect">
                            <a:avLst/>
                          </a:prstGeom>
                          <a:noFill/>
                          <a:ln>
                            <a:noFill/>
                          </a:ln>
                        </pic:spPr>
                      </pic:pic>
                    </a:graphicData>
                  </a:graphic>
                </wp:inline>
              </w:drawing>
            </w:r>
          </w:p>
          <w:p w14:paraId="586C712A">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任务实施：</w:t>
            </w:r>
          </w:p>
          <w:p w14:paraId="0A256AA9">
            <w:pPr>
              <w:widowControl w:val="0"/>
              <w:numPr>
                <w:ilvl w:val="0"/>
                <w:numId w:val="7"/>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兆欧表</w:t>
            </w:r>
          </w:p>
          <w:p w14:paraId="00C6930A">
            <w:pPr>
              <w:widowControl w:val="0"/>
              <w:numPr>
                <w:numId w:val="0"/>
              </w:numPr>
              <w:spacing w:line="360" w:lineRule="auto"/>
              <w:jc w:val="both"/>
              <w:rPr>
                <w:rFonts w:hint="eastAsia" w:ascii="宋体" w:hAnsi="宋体" w:eastAsia="宋体" w:cs="宋体"/>
                <w:sz w:val="21"/>
                <w:szCs w:val="21"/>
                <w:lang w:val="en-US" w:eastAsia="zh-CN"/>
              </w:rPr>
            </w:pPr>
          </w:p>
          <w:p w14:paraId="0A234FEC">
            <w:pPr>
              <w:widowControl w:val="0"/>
              <w:numPr>
                <w:ilvl w:val="0"/>
                <w:numId w:val="0"/>
              </w:numPr>
              <w:spacing w:line="360" w:lineRule="auto"/>
              <w:jc w:val="center"/>
            </w:pPr>
            <w:r>
              <w:drawing>
                <wp:inline distT="0" distB="0" distL="114300" distR="114300">
                  <wp:extent cx="4025265" cy="3542030"/>
                  <wp:effectExtent l="9525" t="9525" r="22860" b="10795"/>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23"/>
                          <a:stretch>
                            <a:fillRect/>
                          </a:stretch>
                        </pic:blipFill>
                        <pic:spPr>
                          <a:xfrm>
                            <a:off x="0" y="0"/>
                            <a:ext cx="4025265" cy="3542030"/>
                          </a:xfrm>
                          <a:prstGeom prst="rect">
                            <a:avLst/>
                          </a:prstGeom>
                          <a:noFill/>
                          <a:ln>
                            <a:solidFill>
                              <a:schemeClr val="bg1">
                                <a:lumMod val="65000"/>
                              </a:schemeClr>
                            </a:solidFill>
                          </a:ln>
                        </pic:spPr>
                      </pic:pic>
                    </a:graphicData>
                  </a:graphic>
                </wp:inline>
              </w:drawing>
            </w:r>
          </w:p>
          <w:p w14:paraId="754952AA">
            <w:pPr>
              <w:widowControl w:val="0"/>
              <w:numPr>
                <w:ilvl w:val="0"/>
                <w:numId w:val="0"/>
              </w:numPr>
              <w:spacing w:line="360" w:lineRule="auto"/>
              <w:jc w:val="both"/>
            </w:pPr>
          </w:p>
          <w:p w14:paraId="25B78619">
            <w:pPr>
              <w:widowControl w:val="0"/>
              <w:numPr>
                <w:ilvl w:val="0"/>
                <w:numId w:val="0"/>
              </w:numPr>
              <w:spacing w:line="360" w:lineRule="auto"/>
              <w:jc w:val="both"/>
              <w:rPr>
                <w:rFonts w:hint="eastAsia"/>
                <w:lang w:val="en-US" w:eastAsia="zh-CN"/>
              </w:rPr>
            </w:pPr>
            <w:r>
              <w:rPr>
                <w:rFonts w:hint="eastAsia"/>
                <w:lang w:val="en-US" w:eastAsia="zh-CN"/>
              </w:rPr>
              <w:t>兆欧表通过施加电压于被测组件，以测量其相对于外壳的绝缘电阻。在测量过程中，根据选定的电压等级，向被测组件和外壳施加相应级别的电压。例如，若选定1000V直流档位，兆欧表将对被测组件和外壳施加1000V直流电压，进而通过检测流经的电流大小来评估其绝缘性能。</w:t>
            </w:r>
          </w:p>
          <w:p w14:paraId="1CCFE0F6">
            <w:pPr>
              <w:widowControl w:val="0"/>
              <w:numPr>
                <w:ilvl w:val="0"/>
                <w:numId w:val="0"/>
              </w:numPr>
              <w:spacing w:line="360" w:lineRule="auto"/>
              <w:jc w:val="both"/>
              <w:rPr>
                <w:rFonts w:hint="eastAsia"/>
                <w:lang w:val="en-US" w:eastAsia="zh-CN"/>
              </w:rPr>
            </w:pPr>
            <w:r>
              <w:rPr>
                <w:rFonts w:hint="eastAsia"/>
                <w:lang w:val="en-US" w:eastAsia="zh-CN"/>
              </w:rPr>
              <w:t>兆欧表的使用方法</w:t>
            </w:r>
          </w:p>
          <w:p w14:paraId="42CB5C88">
            <w:pPr>
              <w:widowControl w:val="0"/>
              <w:numPr>
                <w:ilvl w:val="0"/>
                <w:numId w:val="8"/>
              </w:numPr>
              <w:spacing w:line="360" w:lineRule="auto"/>
              <w:jc w:val="both"/>
              <w:rPr>
                <w:rFonts w:hint="eastAsia"/>
                <w:lang w:val="en-US" w:eastAsia="zh-CN"/>
              </w:rPr>
            </w:pPr>
            <w:r>
              <w:rPr>
                <w:rFonts w:hint="eastAsia"/>
                <w:lang w:val="en-US" w:eastAsia="zh-CN"/>
              </w:rPr>
              <w:t>插表笔 将红色表笔插入“V”插孔（红色孔），黑色表笔插入“EARTH”插孔（黑色孔）。</w:t>
            </w:r>
          </w:p>
          <w:p w14:paraId="10765AEB">
            <w:pPr>
              <w:widowControl w:val="0"/>
              <w:numPr>
                <w:ilvl w:val="0"/>
                <w:numId w:val="0"/>
              </w:numPr>
              <w:spacing w:line="360" w:lineRule="auto"/>
              <w:jc w:val="center"/>
              <w:rPr>
                <w:rFonts w:hint="eastAsia"/>
                <w:lang w:val="en-US" w:eastAsia="zh-CN"/>
              </w:rPr>
            </w:pPr>
            <w:r>
              <w:rPr>
                <w:color w:val="000000" w:themeColor="text1"/>
                <w:lang w:val="en-US"/>
                <w14:textFill>
                  <w14:solidFill>
                    <w14:schemeClr w14:val="tx1"/>
                  </w14:solidFill>
                </w14:textFill>
              </w:rPr>
              <w:drawing>
                <wp:inline distT="0" distB="0" distL="114300" distR="114300">
                  <wp:extent cx="5229225" cy="2857500"/>
                  <wp:effectExtent l="0" t="0" r="9525" b="0"/>
                  <wp:docPr id="115"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3"/>
                          <pic:cNvPicPr>
                            <a:picLocks noChangeAspect="1"/>
                          </pic:cNvPicPr>
                        </pic:nvPicPr>
                        <pic:blipFill>
                          <a:blip r:embed="rId24"/>
                          <a:stretch>
                            <a:fillRect/>
                          </a:stretch>
                        </pic:blipFill>
                        <pic:spPr>
                          <a:xfrm>
                            <a:off x="0" y="0"/>
                            <a:ext cx="5229225" cy="2857500"/>
                          </a:xfrm>
                          <a:prstGeom prst="rect">
                            <a:avLst/>
                          </a:prstGeom>
                          <a:noFill/>
                          <a:ln>
                            <a:noFill/>
                          </a:ln>
                        </pic:spPr>
                      </pic:pic>
                    </a:graphicData>
                  </a:graphic>
                </wp:inline>
              </w:drawing>
            </w:r>
          </w:p>
          <w:p w14:paraId="695C23F4">
            <w:pPr>
              <w:widowControl w:val="0"/>
              <w:numPr>
                <w:ilvl w:val="0"/>
                <w:numId w:val="8"/>
              </w:numPr>
              <w:spacing w:line="360" w:lineRule="auto"/>
              <w:jc w:val="both"/>
              <w:rPr>
                <w:rFonts w:hint="eastAsia"/>
                <w:lang w:val="en-US" w:eastAsia="zh-CN"/>
              </w:rPr>
            </w:pPr>
            <w:r>
              <w:rPr>
                <w:rFonts w:hint="eastAsia" w:ascii="宋体" w:hAnsi="宋体" w:eastAsia="宋体" w:cs="宋体"/>
                <w:color w:val="000000" w:themeColor="text1"/>
                <w:szCs w:val="24"/>
                <w14:textFill>
                  <w14:solidFill>
                    <w14:schemeClr w14:val="tx1"/>
                  </w14:solidFill>
                </w14:textFill>
              </w:rPr>
              <w:t>选档位</w:t>
            </w:r>
            <w:r>
              <w:rPr>
                <w:rFonts w:hint="eastAsia" w:ascii="宋体" w:hAnsi="宋体" w:eastAsia="宋体" w:cs="宋体"/>
                <w:color w:val="000000" w:themeColor="text1"/>
                <w:szCs w:val="24"/>
                <w:lang w:val="en-US" w:eastAsia="zh-CN"/>
                <w14:textFill>
                  <w14:solidFill>
                    <w14:schemeClr w14:val="tx1"/>
                  </w14:solidFill>
                </w14:textFill>
              </w:rPr>
              <w:t xml:space="preserve"> </w:t>
            </w:r>
            <w:r>
              <w:rPr>
                <w:rFonts w:hint="eastAsia" w:ascii="宋体" w:hAnsi="宋体" w:eastAsia="宋体" w:cs="宋体"/>
                <w:color w:val="000000" w:themeColor="text1"/>
                <w:szCs w:val="24"/>
                <w14:textFill>
                  <w14:solidFill>
                    <w14:schemeClr w14:val="tx1"/>
                  </w14:solidFill>
                </w14:textFill>
              </w:rPr>
              <w:t>将转盘开关旋转</w:t>
            </w:r>
            <w:r>
              <w:rPr>
                <w:rFonts w:hint="eastAsia" w:ascii="宋体" w:hAnsi="宋体" w:cs="宋体"/>
                <w:color w:val="000000" w:themeColor="text1"/>
                <w:szCs w:val="24"/>
                <w:lang w:eastAsia="zh-CN"/>
                <w14:textFill>
                  <w14:solidFill>
                    <w14:schemeClr w14:val="tx1"/>
                  </w14:solidFill>
                </w14:textFill>
              </w:rPr>
              <w:t>至</w:t>
            </w:r>
            <w:r>
              <w:rPr>
                <w:rFonts w:hint="eastAsia" w:ascii="宋体" w:hAnsi="宋体" w:eastAsia="宋体" w:cs="宋体"/>
                <w:color w:val="000000" w:themeColor="text1"/>
                <w:szCs w:val="24"/>
                <w14:textFill>
                  <w14:solidFill>
                    <w14:schemeClr w14:val="tx1"/>
                  </w14:solidFill>
                </w14:textFill>
              </w:rPr>
              <w:t>INSUATION（绝缘电阻区</w:t>
            </w:r>
            <w:r>
              <w:rPr>
                <w:rFonts w:hint="eastAsia" w:ascii="宋体" w:hAnsi="宋体" w:eastAsia="宋体" w:cs="宋体"/>
                <w:color w:val="000000" w:themeColor="text1"/>
                <w:szCs w:val="24"/>
                <w:lang w:eastAsia="zh-CN"/>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然后选择您需要的测试电压。</w:t>
            </w:r>
          </w:p>
          <w:p w14:paraId="470484D0">
            <w:pPr>
              <w:widowControl w:val="0"/>
              <w:numPr>
                <w:ilvl w:val="0"/>
                <w:numId w:val="8"/>
              </w:numPr>
              <w:spacing w:line="360" w:lineRule="auto"/>
              <w:jc w:val="both"/>
              <w:rPr>
                <w:rFonts w:hint="eastAsia"/>
                <w:lang w:val="en-US" w:eastAsia="zh-CN"/>
              </w:rPr>
            </w:pPr>
            <w:r>
              <w:rPr>
                <w:rFonts w:hint="eastAsia" w:ascii="宋体" w:hAnsi="宋体" w:eastAsia="宋体" w:cs="宋体"/>
                <w:color w:val="000000" w:themeColor="text1"/>
                <w:szCs w:val="24"/>
                <w14:textFill>
                  <w14:solidFill>
                    <w14:schemeClr w14:val="tx1"/>
                  </w14:solidFill>
                </w14:textFill>
              </w:rPr>
              <w:t>验表</w:t>
            </w:r>
            <w:r>
              <w:rPr>
                <w:rFonts w:hint="eastAsia" w:ascii="宋体" w:hAnsi="宋体" w:cs="宋体"/>
                <w:color w:val="000000" w:themeColor="text1"/>
                <w:szCs w:val="24"/>
                <w:lang w:val="en-US" w:eastAsia="zh-CN"/>
                <w14:textFill>
                  <w14:solidFill>
                    <w14:schemeClr w14:val="tx1"/>
                  </w14:solidFill>
                </w14:textFill>
              </w:rPr>
              <w:t xml:space="preserve"> </w:t>
            </w:r>
            <w:r>
              <w:rPr>
                <w:rFonts w:hint="eastAsia" w:ascii="宋体" w:hAnsi="宋体" w:eastAsia="宋体" w:cs="宋体"/>
                <w:color w:val="000000" w:themeColor="text1"/>
                <w:szCs w:val="24"/>
                <w14:textFill>
                  <w14:solidFill>
                    <w14:schemeClr w14:val="tx1"/>
                  </w14:solidFill>
                </w14:textFill>
              </w:rPr>
              <w:t>将红表笔和黑表笔相接，按下“TEST”按钮，读数应为“0”，若不为零，证明兆欧表读数不准确</w:t>
            </w:r>
            <w:r>
              <w:rPr>
                <w:rFonts w:hint="eastAsia" w:ascii="宋体" w:hAnsi="宋体" w:eastAsia="宋体" w:cs="宋体"/>
                <w:color w:val="000000" w:themeColor="text1"/>
                <w:szCs w:val="24"/>
                <w:lang w:eastAsia="zh-CN"/>
                <w14:textFill>
                  <w14:solidFill>
                    <w14:schemeClr w14:val="tx1"/>
                  </w14:solidFill>
                </w14:textFill>
              </w:rPr>
              <w:t>。</w:t>
            </w:r>
          </w:p>
          <w:p w14:paraId="64BE4388">
            <w:pPr>
              <w:widowControl w:val="0"/>
              <w:numPr>
                <w:ilvl w:val="0"/>
                <w:numId w:val="0"/>
              </w:numPr>
              <w:spacing w:line="360" w:lineRule="auto"/>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114300" distR="114300">
                  <wp:extent cx="5025390" cy="2838450"/>
                  <wp:effectExtent l="0" t="0" r="3810" b="0"/>
                  <wp:docPr id="116"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4"/>
                          <pic:cNvPicPr>
                            <a:picLocks noChangeAspect="1"/>
                          </pic:cNvPicPr>
                        </pic:nvPicPr>
                        <pic:blipFill>
                          <a:blip r:embed="rId25"/>
                          <a:stretch>
                            <a:fillRect/>
                          </a:stretch>
                        </pic:blipFill>
                        <pic:spPr>
                          <a:xfrm>
                            <a:off x="0" y="0"/>
                            <a:ext cx="5025390" cy="2838450"/>
                          </a:xfrm>
                          <a:prstGeom prst="rect">
                            <a:avLst/>
                          </a:prstGeom>
                          <a:noFill/>
                          <a:ln>
                            <a:noFill/>
                          </a:ln>
                        </pic:spPr>
                      </pic:pic>
                    </a:graphicData>
                  </a:graphic>
                </wp:inline>
              </w:drawing>
            </w:r>
          </w:p>
          <w:p w14:paraId="20E93655">
            <w:pPr>
              <w:numPr>
                <w:ilvl w:val="0"/>
                <w:numId w:val="8"/>
              </w:numPr>
              <w:spacing w:line="360" w:lineRule="auto"/>
              <w:ind w:left="0" w:leftChars="0" w:firstLine="0" w:firstLineChars="0"/>
              <w:rPr>
                <w:rFonts w:hint="eastAsia"/>
                <w:color w:val="000000" w:themeColor="text1"/>
                <w:lang w:val="en-US" w:eastAsia="zh-CN"/>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将表笔并联到待测电路</w:t>
            </w:r>
            <w:r>
              <w:rPr>
                <w:rFonts w:hint="eastAsia" w:ascii="宋体" w:hAnsi="宋体" w:cs="宋体"/>
                <w:color w:val="000000" w:themeColor="text1"/>
                <w:szCs w:val="24"/>
                <w:lang w:val="en-US" w:eastAsia="zh-CN"/>
                <w14:textFill>
                  <w14:solidFill>
                    <w14:schemeClr w14:val="tx1"/>
                  </w14:solidFill>
                </w14:textFill>
              </w:rPr>
              <w:t xml:space="preserve"> </w:t>
            </w:r>
            <w:r>
              <w:rPr>
                <w:rFonts w:hint="eastAsia" w:ascii="宋体" w:hAnsi="宋体" w:eastAsia="宋体" w:cs="宋体"/>
                <w:color w:val="000000" w:themeColor="text1"/>
                <w:szCs w:val="24"/>
                <w14:textFill>
                  <w14:solidFill>
                    <w14:schemeClr w14:val="tx1"/>
                  </w14:solidFill>
                </w14:textFill>
              </w:rPr>
              <w:t>一般将黑表笔接所测部件的外壳，红表笔接所测部件高压连接部分</w:t>
            </w:r>
            <w:r>
              <w:rPr>
                <w:rFonts w:hint="eastAsia"/>
                <w:color w:val="000000" w:themeColor="text1"/>
                <w:lang w:val="en-US" w:eastAsia="zh-CN"/>
                <w14:textFill>
                  <w14:solidFill>
                    <w14:schemeClr w14:val="tx1"/>
                  </w14:solidFill>
                </w14:textFill>
              </w:rPr>
              <w:t>。</w:t>
            </w:r>
          </w:p>
          <w:p w14:paraId="27AED807">
            <w:pPr>
              <w:numPr>
                <w:ilvl w:val="0"/>
                <w:numId w:val="8"/>
              </w:numPr>
              <w:spacing w:line="360" w:lineRule="auto"/>
              <w:ind w:left="0" w:leftChars="0" w:firstLine="0" w:firstLineChars="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测量</w:t>
            </w:r>
            <w:r>
              <w:rPr>
                <w:rFonts w:hint="eastAsia" w:ascii="宋体" w:hAnsi="宋体" w:cs="宋体"/>
                <w:color w:val="000000" w:themeColor="text1"/>
                <w:szCs w:val="24"/>
                <w:lang w:val="en-US" w:eastAsia="zh-CN"/>
                <w14:textFill>
                  <w14:solidFill>
                    <w14:schemeClr w14:val="tx1"/>
                  </w14:solidFill>
                </w14:textFill>
              </w:rPr>
              <w:t xml:space="preserve"> </w:t>
            </w:r>
            <w:r>
              <w:rPr>
                <w:rFonts w:hint="eastAsia" w:ascii="宋体" w:hAnsi="宋体" w:eastAsia="宋体" w:cs="宋体"/>
                <w:color w:val="000000" w:themeColor="text1"/>
                <w:szCs w:val="24"/>
                <w14:textFill>
                  <w14:solidFill>
                    <w14:schemeClr w14:val="tx1"/>
                  </w14:solidFill>
                </w14:textFill>
              </w:rPr>
              <w:t>按下“TEST”按钮，然后从显示屏主显示区读出当前电阻值，如图2-</w:t>
            </w:r>
            <w:r>
              <w:rPr>
                <w:rFonts w:hint="eastAsia" w:ascii="宋体" w:hAnsi="宋体" w:cs="宋体"/>
                <w:color w:val="000000" w:themeColor="text1"/>
                <w:szCs w:val="24"/>
                <w:lang w:val="en-US" w:eastAsia="zh-CN"/>
                <w14:textFill>
                  <w14:solidFill>
                    <w14:schemeClr w14:val="tx1"/>
                  </w14:solidFill>
                </w14:textFill>
              </w:rPr>
              <w:t>3-8</w:t>
            </w:r>
            <w:r>
              <w:rPr>
                <w:rFonts w:hint="eastAsia" w:ascii="宋体" w:hAnsi="宋体" w:eastAsia="宋体" w:cs="宋体"/>
                <w:color w:val="000000" w:themeColor="text1"/>
                <w:szCs w:val="24"/>
                <w14:textFill>
                  <w14:solidFill>
                    <w14:schemeClr w14:val="tx1"/>
                  </w14:solidFill>
                </w14:textFill>
              </w:rPr>
              <w:t>所示。</w:t>
            </w:r>
          </w:p>
          <w:p w14:paraId="4E581294">
            <w:pPr>
              <w:widowControl w:val="0"/>
              <w:numPr>
                <w:ilvl w:val="0"/>
                <w:numId w:val="0"/>
              </w:numPr>
              <w:spacing w:line="360" w:lineRule="auto"/>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114300" distR="114300">
                  <wp:extent cx="5029835" cy="3929380"/>
                  <wp:effectExtent l="0" t="0" r="18415" b="13970"/>
                  <wp:docPr id="117"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5"/>
                          <pic:cNvPicPr>
                            <a:picLocks noChangeAspect="1"/>
                          </pic:cNvPicPr>
                        </pic:nvPicPr>
                        <pic:blipFill>
                          <a:blip r:embed="rId26"/>
                          <a:stretch>
                            <a:fillRect/>
                          </a:stretch>
                        </pic:blipFill>
                        <pic:spPr>
                          <a:xfrm>
                            <a:off x="0" y="0"/>
                            <a:ext cx="5029835" cy="3929380"/>
                          </a:xfrm>
                          <a:prstGeom prst="rect">
                            <a:avLst/>
                          </a:prstGeom>
                          <a:noFill/>
                          <a:ln>
                            <a:noFill/>
                          </a:ln>
                        </pic:spPr>
                      </pic:pic>
                    </a:graphicData>
                  </a:graphic>
                </wp:inline>
              </w:drawing>
            </w:r>
          </w:p>
          <w:p w14:paraId="5B2F44A5">
            <w:pPr>
              <w:widowControl w:val="0"/>
              <w:numPr>
                <w:ilvl w:val="0"/>
                <w:numId w:val="7"/>
              </w:numPr>
              <w:spacing w:line="360" w:lineRule="auto"/>
              <w:ind w:left="0" w:leftChars="0" w:firstLine="0" w:firstLineChars="0"/>
              <w:jc w:val="both"/>
              <w:rPr>
                <w:rFonts w:hint="eastAsia" w:ascii="宋体" w:hAnsi="宋体" w:eastAsia="宋体" w:cs="宋体"/>
              </w:rPr>
            </w:pPr>
            <w:r>
              <w:rPr>
                <w:rFonts w:hint="eastAsia" w:ascii="宋体" w:hAnsi="宋体" w:eastAsia="宋体" w:cs="宋体"/>
              </w:rPr>
              <w:t>高压部件的</w:t>
            </w:r>
            <w:r>
              <w:rPr>
                <w:rFonts w:hint="eastAsia" w:ascii="宋体" w:hAnsi="宋体" w:eastAsia="宋体" w:cs="宋体"/>
                <w:lang w:val="en-US" w:eastAsia="zh-CN"/>
              </w:rPr>
              <w:t>绝缘</w:t>
            </w:r>
            <w:r>
              <w:rPr>
                <w:rFonts w:hint="eastAsia" w:ascii="宋体" w:hAnsi="宋体" w:eastAsia="宋体" w:cs="宋体"/>
              </w:rPr>
              <w:t>检测</w:t>
            </w:r>
          </w:p>
          <w:p w14:paraId="0A878B0A">
            <w:pPr>
              <w:spacing w:line="360" w:lineRule="auto"/>
              <w:ind w:firstLine="42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高压漏电的位置包</w:t>
            </w:r>
            <w:r>
              <w:rPr>
                <w:rFonts w:hint="eastAsia" w:ascii="宋体" w:hAnsi="宋体" w:eastAsia="宋体" w:cs="宋体"/>
                <w:color w:val="auto"/>
                <w:szCs w:val="24"/>
              </w:rPr>
              <w:t>括</w:t>
            </w:r>
            <w:r>
              <w:rPr>
                <w:rFonts w:hint="eastAsia" w:ascii="宋体" w:hAnsi="宋体" w:eastAsia="宋体" w:cs="宋体"/>
                <w:color w:val="auto"/>
                <w:szCs w:val="24"/>
                <w:lang w:eastAsia="zh-CN"/>
              </w:rPr>
              <w:t>动力蓄电池</w:t>
            </w:r>
            <w:r>
              <w:rPr>
                <w:rFonts w:hint="eastAsia" w:ascii="宋体" w:hAnsi="宋体" w:eastAsia="宋体" w:cs="宋体"/>
                <w:color w:val="auto"/>
                <w:szCs w:val="24"/>
              </w:rPr>
              <w:t>组漏电、</w:t>
            </w:r>
            <w:r>
              <w:rPr>
                <w:rFonts w:hint="eastAsia" w:ascii="宋体" w:hAnsi="宋体" w:eastAsia="宋体" w:cs="宋体"/>
                <w:color w:val="auto"/>
                <w:szCs w:val="24"/>
                <w:lang w:val="en-US" w:eastAsia="zh-CN"/>
              </w:rPr>
              <w:t>动力蓄</w:t>
            </w:r>
            <w:r>
              <w:rPr>
                <w:rFonts w:hint="eastAsia" w:ascii="宋体" w:hAnsi="宋体" w:eastAsia="宋体" w:cs="宋体"/>
                <w:color w:val="auto"/>
                <w:szCs w:val="24"/>
              </w:rPr>
              <w:t>电池输出控制单元漏电、电缆漏电、配电</w:t>
            </w:r>
            <w:r>
              <w:rPr>
                <w:rFonts w:hint="eastAsia" w:ascii="宋体" w:hAnsi="宋体" w:eastAsia="宋体" w:cs="宋体"/>
                <w:strike w:val="0"/>
                <w:dstrike w:val="0"/>
                <w:color w:val="auto"/>
                <w:szCs w:val="24"/>
                <w:lang w:val="en-US" w:eastAsia="zh-CN"/>
              </w:rPr>
              <w:t>盒</w:t>
            </w:r>
            <w:r>
              <w:rPr>
                <w:rFonts w:hint="eastAsia" w:ascii="宋体" w:hAnsi="宋体" w:eastAsia="宋体" w:cs="宋体"/>
                <w:color w:val="auto"/>
                <w:szCs w:val="24"/>
              </w:rPr>
              <w:t>漏电、车载充电</w:t>
            </w:r>
            <w:r>
              <w:rPr>
                <w:rFonts w:hint="eastAsia" w:ascii="宋体" w:hAnsi="宋体" w:eastAsia="宋体" w:cs="宋体"/>
                <w:strike w:val="0"/>
                <w:dstrike w:val="0"/>
                <w:color w:val="auto"/>
                <w:szCs w:val="24"/>
                <w:lang w:val="en-US" w:eastAsia="zh-CN"/>
              </w:rPr>
              <w:t>机</w:t>
            </w:r>
            <w:r>
              <w:rPr>
                <w:rFonts w:hint="eastAsia" w:ascii="宋体" w:hAnsi="宋体" w:eastAsia="宋体" w:cs="宋体"/>
                <w:color w:val="auto"/>
                <w:szCs w:val="24"/>
              </w:rPr>
              <w:t>漏</w:t>
            </w:r>
            <w:r>
              <w:rPr>
                <w:rFonts w:hint="eastAsia" w:ascii="宋体" w:hAnsi="宋体" w:eastAsia="宋体" w:cs="宋体"/>
                <w:color w:val="000000" w:themeColor="text1"/>
                <w:szCs w:val="24"/>
                <w14:textFill>
                  <w14:solidFill>
                    <w14:schemeClr w14:val="tx1"/>
                  </w14:solidFill>
                </w14:textFill>
              </w:rPr>
              <w:t>电、</w:t>
            </w:r>
            <w:r>
              <w:rPr>
                <w:rFonts w:hint="eastAsia" w:ascii="宋体" w:hAnsi="宋体" w:eastAsia="宋体" w:cs="宋体"/>
                <w:color w:val="000000" w:themeColor="text1"/>
                <w:szCs w:val="24"/>
                <w:lang w:eastAsia="zh-CN"/>
                <w14:textFill>
                  <w14:solidFill>
                    <w14:schemeClr w14:val="tx1"/>
                  </w14:solidFill>
                </w14:textFill>
              </w:rPr>
              <w:t>DC/DC</w:t>
            </w:r>
            <w:r>
              <w:rPr>
                <w:rFonts w:hint="eastAsia" w:ascii="宋体" w:hAnsi="宋体" w:eastAsia="宋体" w:cs="宋体"/>
                <w:color w:val="000000" w:themeColor="text1"/>
                <w:szCs w:val="24"/>
                <w14:textFill>
                  <w14:solidFill>
                    <w14:schemeClr w14:val="tx1"/>
                  </w14:solidFill>
                </w14:textFill>
              </w:rPr>
              <w:t>漏电、电动压缩机漏电、PTC漏电、电机控制器及电机漏电。</w:t>
            </w:r>
          </w:p>
          <w:p w14:paraId="2D94BFEF">
            <w:pPr>
              <w:widowControl w:val="0"/>
              <w:numPr>
                <w:ilvl w:val="0"/>
                <w:numId w:val="0"/>
              </w:numPr>
              <w:spacing w:line="360" w:lineRule="auto"/>
              <w:ind w:leftChars="0"/>
              <w:jc w:val="both"/>
              <w:rPr>
                <w:rFonts w:hint="eastAsia"/>
              </w:rPr>
            </w:pPr>
          </w:p>
          <w:p w14:paraId="5D2C6570">
            <w:pPr>
              <w:widowControl w:val="0"/>
              <w:numPr>
                <w:ilvl w:val="0"/>
                <w:numId w:val="0"/>
              </w:numPr>
              <w:spacing w:line="360" w:lineRule="auto"/>
              <w:ind w:leftChars="0"/>
              <w:jc w:val="center"/>
              <w:rPr>
                <w:rFonts w:hint="eastAsia" w:eastAsia="黑体"/>
                <w:color w:val="000000" w:themeColor="text1"/>
                <w:lang w:eastAsia="zh-CN"/>
                <w14:textFill>
                  <w14:solidFill>
                    <w14:schemeClr w14:val="tx1"/>
                  </w14:solidFill>
                </w14:textFill>
              </w:rPr>
            </w:pPr>
            <w:r>
              <w:rPr>
                <w:rFonts w:hint="eastAsia" w:eastAsia="黑体"/>
                <w:color w:val="000000" w:themeColor="text1"/>
                <w:lang w:eastAsia="zh-CN"/>
                <w14:textFill>
                  <w14:solidFill>
                    <w14:schemeClr w14:val="tx1"/>
                  </w14:solidFill>
                </w14:textFill>
              </w:rPr>
              <w:drawing>
                <wp:inline distT="0" distB="0" distL="114300" distR="114300">
                  <wp:extent cx="4906645" cy="3470275"/>
                  <wp:effectExtent l="0" t="0" r="8255" b="15875"/>
                  <wp:docPr id="3" name="图片 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5"/>
                          <pic:cNvPicPr>
                            <a:picLocks noChangeAspect="1"/>
                          </pic:cNvPicPr>
                        </pic:nvPicPr>
                        <pic:blipFill>
                          <a:blip r:embed="rId27"/>
                          <a:stretch>
                            <a:fillRect/>
                          </a:stretch>
                        </pic:blipFill>
                        <pic:spPr>
                          <a:xfrm>
                            <a:off x="0" y="0"/>
                            <a:ext cx="4906645" cy="3470275"/>
                          </a:xfrm>
                          <a:prstGeom prst="rect">
                            <a:avLst/>
                          </a:prstGeom>
                        </pic:spPr>
                      </pic:pic>
                    </a:graphicData>
                  </a:graphic>
                </wp:inline>
              </w:drawing>
            </w:r>
          </w:p>
          <w:p w14:paraId="67F06639">
            <w:pPr>
              <w:widowControl w:val="0"/>
              <w:numPr>
                <w:ilvl w:val="0"/>
                <w:numId w:val="0"/>
              </w:numPr>
              <w:spacing w:line="360" w:lineRule="auto"/>
              <w:ind w:leftChars="0"/>
              <w:jc w:val="both"/>
              <w:rPr>
                <w:rFonts w:hint="eastAsia" w:eastAsia="黑体"/>
                <w:color w:val="000000" w:themeColor="text1"/>
                <w:lang w:val="en-US" w:eastAsia="zh-CN"/>
                <w14:textFill>
                  <w14:solidFill>
                    <w14:schemeClr w14:val="tx1"/>
                  </w14:solidFill>
                </w14:textFill>
              </w:rPr>
            </w:pPr>
            <w:r>
              <w:rPr>
                <w:rFonts w:hint="eastAsia" w:eastAsia="黑体"/>
                <w:color w:val="000000" w:themeColor="text1"/>
                <w:lang w:val="en-US" w:eastAsia="zh-CN"/>
                <w14:textFill>
                  <w14:solidFill>
                    <w14:schemeClr w14:val="tx1"/>
                  </w14:solidFill>
                </w14:textFill>
              </w:rPr>
              <w:t>电缆绝缘测量</w:t>
            </w:r>
          </w:p>
          <w:p w14:paraId="4D8C5CB3">
            <w:pPr>
              <w:widowControl w:val="0"/>
              <w:numPr>
                <w:ilvl w:val="0"/>
                <w:numId w:val="0"/>
              </w:numPr>
              <w:spacing w:line="360" w:lineRule="auto"/>
              <w:ind w:leftChars="0"/>
              <w:jc w:val="both"/>
              <w:rPr>
                <w:rFonts w:hint="eastAsia" w:eastAsia="黑体"/>
                <w:color w:val="000000" w:themeColor="text1"/>
                <w:lang w:val="en-US" w:eastAsia="zh-CN"/>
                <w14:textFill>
                  <w14:solidFill>
                    <w14:schemeClr w14:val="tx1"/>
                  </w14:solidFill>
                </w14:textFill>
              </w:rPr>
            </w:pPr>
          </w:p>
        </w:tc>
      </w:tr>
      <w:tr w14:paraId="6519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2FCE051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2CBB4BC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6B588C6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5997B91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4BF38702">
      <w:pPr>
        <w:rPr>
          <w:rFonts w:hint="eastAsia" w:ascii="宋体" w:hAnsi="宋体" w:eastAsia="宋体" w:cs="宋体"/>
          <w:b/>
          <w:bCs/>
          <w:sz w:val="24"/>
          <w:szCs w:val="24"/>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ATC-59279ed1*+">
    <w:altName w:val="宋体"/>
    <w:panose1 w:val="00000000000000000000"/>
    <w:charset w:val="86"/>
    <w:family w:val="auto"/>
    <w:pitch w:val="default"/>
    <w:sig w:usb0="00000000" w:usb1="00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ATC-51c65706*+">
    <w:altName w:val="宋体"/>
    <w:panose1 w:val="00000000000000000000"/>
    <w:charset w:val="86"/>
    <w:family w:val="auto"/>
    <w:pitch w:val="default"/>
    <w:sig w:usb0="00000000" w:usb1="00000000" w:usb2="00000000" w:usb3="00000000" w:csb0="00040000" w:csb1="00000000"/>
  </w:font>
  <w:font w:name="ATC-4e2d7b497ebf*+">
    <w:altName w:val="宋体"/>
    <w:panose1 w:val="00000000000000000000"/>
    <w:charset w:val="86"/>
    <w:family w:val="auto"/>
    <w:pitch w:val="default"/>
    <w:sig w:usb0="00000000" w:usb1="00000000" w:usb2="00000000" w:usb3="00000000" w:csb0="00040000" w:csb1="00000000"/>
  </w:font>
  <w:font w:name="方正书宋_GBK">
    <w:altName w:val="微软雅黑"/>
    <w:panose1 w:val="03000509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4780"/>
      <w:docPartObj>
        <w:docPartGallery w:val="autotext"/>
      </w:docPartObj>
    </w:sdtPr>
    <w:sdtEndPr>
      <w:rPr>
        <w:rFonts w:ascii="Times New Roman" w:hAnsi="Times New Roman" w:cs="Times New Roman"/>
        <w:sz w:val="21"/>
        <w:szCs w:val="21"/>
      </w:rPr>
    </w:sdtEndPr>
    <w:sdtContent>
      <w:p w14:paraId="2D27F798">
        <w:pPr>
          <w:pStyle w:val="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B9A81"/>
    <w:multiLevelType w:val="singleLevel"/>
    <w:tmpl w:val="80DB9A81"/>
    <w:lvl w:ilvl="0" w:tentative="0">
      <w:start w:val="2"/>
      <w:numFmt w:val="decimal"/>
      <w:lvlText w:val="%1."/>
      <w:lvlJc w:val="left"/>
      <w:pPr>
        <w:tabs>
          <w:tab w:val="left" w:pos="312"/>
        </w:tabs>
      </w:pPr>
    </w:lvl>
  </w:abstractNum>
  <w:abstractNum w:abstractNumId="1">
    <w:nsid w:val="85A755E9"/>
    <w:multiLevelType w:val="singleLevel"/>
    <w:tmpl w:val="85A755E9"/>
    <w:lvl w:ilvl="0" w:tentative="0">
      <w:start w:val="1"/>
      <w:numFmt w:val="decimal"/>
      <w:suff w:val="nothing"/>
      <w:lvlText w:val="%1）"/>
      <w:lvlJc w:val="left"/>
    </w:lvl>
  </w:abstractNum>
  <w:abstractNum w:abstractNumId="2">
    <w:nsid w:val="0749C829"/>
    <w:multiLevelType w:val="singleLevel"/>
    <w:tmpl w:val="0749C829"/>
    <w:lvl w:ilvl="0" w:tentative="0">
      <w:start w:val="1"/>
      <w:numFmt w:val="chineseCounting"/>
      <w:suff w:val="nothing"/>
      <w:lvlText w:val="%1、"/>
      <w:lvlJc w:val="left"/>
      <w:rPr>
        <w:rFonts w:hint="eastAsia"/>
      </w:rPr>
    </w:lvl>
  </w:abstractNum>
  <w:abstractNum w:abstractNumId="3">
    <w:nsid w:val="1217A0E7"/>
    <w:multiLevelType w:val="singleLevel"/>
    <w:tmpl w:val="1217A0E7"/>
    <w:lvl w:ilvl="0" w:tentative="0">
      <w:start w:val="3"/>
      <w:numFmt w:val="chineseCounting"/>
      <w:suff w:val="nothing"/>
      <w:lvlText w:val="%1、"/>
      <w:lvlJc w:val="left"/>
      <w:rPr>
        <w:rFonts w:hint="eastAsia"/>
      </w:rPr>
    </w:lvl>
  </w:abstractNum>
  <w:abstractNum w:abstractNumId="4">
    <w:nsid w:val="24BD77B4"/>
    <w:multiLevelType w:val="singleLevel"/>
    <w:tmpl w:val="24BD77B4"/>
    <w:lvl w:ilvl="0" w:tentative="0">
      <w:start w:val="1"/>
      <w:numFmt w:val="decimal"/>
      <w:suff w:val="nothing"/>
      <w:lvlText w:val="（%1）"/>
      <w:lvlJc w:val="left"/>
    </w:lvl>
  </w:abstractNum>
  <w:abstractNum w:abstractNumId="5">
    <w:nsid w:val="6834D23B"/>
    <w:multiLevelType w:val="singleLevel"/>
    <w:tmpl w:val="6834D23B"/>
    <w:lvl w:ilvl="0" w:tentative="0">
      <w:start w:val="4"/>
      <w:numFmt w:val="decimal"/>
      <w:suff w:val="nothing"/>
      <w:lvlText w:val="%1）"/>
      <w:lvlJc w:val="left"/>
    </w:lvl>
  </w:abstractNum>
  <w:abstractNum w:abstractNumId="6">
    <w:nsid w:val="6C48A8A6"/>
    <w:multiLevelType w:val="singleLevel"/>
    <w:tmpl w:val="6C48A8A6"/>
    <w:lvl w:ilvl="0" w:tentative="0">
      <w:start w:val="2"/>
      <w:numFmt w:val="decimal"/>
      <w:suff w:val="nothing"/>
      <w:lvlText w:val="（%1）"/>
      <w:lvlJc w:val="left"/>
    </w:lvl>
  </w:abstractNum>
  <w:abstractNum w:abstractNumId="7">
    <w:nsid w:val="7D370AFF"/>
    <w:multiLevelType w:val="singleLevel"/>
    <w:tmpl w:val="7D370AFF"/>
    <w:lvl w:ilvl="0" w:tentative="0">
      <w:start w:val="1"/>
      <w:numFmt w:val="chineseCounting"/>
      <w:suff w:val="nothing"/>
      <w:lvlText w:val="%1、"/>
      <w:lvlJc w:val="left"/>
      <w:rPr>
        <w:rFonts w:hint="eastAsia"/>
      </w:rPr>
    </w:lvl>
  </w:abstractNum>
  <w:num w:numId="1">
    <w:abstractNumId w:val="1"/>
  </w:num>
  <w:num w:numId="2">
    <w:abstractNumId w:val="3"/>
  </w:num>
  <w:num w:numId="3">
    <w:abstractNumId w:val="7"/>
  </w:num>
  <w:num w:numId="4">
    <w:abstractNumId w:val="5"/>
  </w:num>
  <w:num w:numId="5">
    <w:abstractNumId w:val="0"/>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4NzIyN2MxYTlmMzQ1NGE2MjU5NWRkMjhlOGMxYTAifQ=="/>
  </w:docVars>
  <w:rsids>
    <w:rsidRoot w:val="00A458E2"/>
    <w:rsid w:val="0000135A"/>
    <w:rsid w:val="000025A2"/>
    <w:rsid w:val="0001231C"/>
    <w:rsid w:val="00014E6A"/>
    <w:rsid w:val="000227FF"/>
    <w:rsid w:val="00034292"/>
    <w:rsid w:val="00047B15"/>
    <w:rsid w:val="000503CD"/>
    <w:rsid w:val="00061266"/>
    <w:rsid w:val="00073FFF"/>
    <w:rsid w:val="00080B2F"/>
    <w:rsid w:val="00083B1D"/>
    <w:rsid w:val="0008425E"/>
    <w:rsid w:val="000A47DA"/>
    <w:rsid w:val="000B724E"/>
    <w:rsid w:val="000C05B6"/>
    <w:rsid w:val="000E7ABF"/>
    <w:rsid w:val="000F1AA5"/>
    <w:rsid w:val="00104102"/>
    <w:rsid w:val="00116F8E"/>
    <w:rsid w:val="00123AC2"/>
    <w:rsid w:val="00125734"/>
    <w:rsid w:val="00150EAD"/>
    <w:rsid w:val="00155168"/>
    <w:rsid w:val="00160F39"/>
    <w:rsid w:val="00177909"/>
    <w:rsid w:val="00185006"/>
    <w:rsid w:val="001C0B2A"/>
    <w:rsid w:val="001D11ED"/>
    <w:rsid w:val="001D2461"/>
    <w:rsid w:val="001E5C04"/>
    <w:rsid w:val="001F2B26"/>
    <w:rsid w:val="001F3ED9"/>
    <w:rsid w:val="00207852"/>
    <w:rsid w:val="00215EAA"/>
    <w:rsid w:val="002313F6"/>
    <w:rsid w:val="002410F1"/>
    <w:rsid w:val="00241FD8"/>
    <w:rsid w:val="00243AEB"/>
    <w:rsid w:val="00247811"/>
    <w:rsid w:val="002519F4"/>
    <w:rsid w:val="00256F70"/>
    <w:rsid w:val="00263AEB"/>
    <w:rsid w:val="00264E69"/>
    <w:rsid w:val="00265FE1"/>
    <w:rsid w:val="002668A0"/>
    <w:rsid w:val="00266ECA"/>
    <w:rsid w:val="0029126B"/>
    <w:rsid w:val="002A40BA"/>
    <w:rsid w:val="002C0F5F"/>
    <w:rsid w:val="002C373A"/>
    <w:rsid w:val="002C61D4"/>
    <w:rsid w:val="002D2B06"/>
    <w:rsid w:val="002E43CB"/>
    <w:rsid w:val="002E6020"/>
    <w:rsid w:val="0032394F"/>
    <w:rsid w:val="00325978"/>
    <w:rsid w:val="00345570"/>
    <w:rsid w:val="003479A8"/>
    <w:rsid w:val="00351C4B"/>
    <w:rsid w:val="00361B5F"/>
    <w:rsid w:val="003723E1"/>
    <w:rsid w:val="00374DA0"/>
    <w:rsid w:val="0037613A"/>
    <w:rsid w:val="00376FA7"/>
    <w:rsid w:val="003837B4"/>
    <w:rsid w:val="00390AF4"/>
    <w:rsid w:val="003A1C0E"/>
    <w:rsid w:val="003A6947"/>
    <w:rsid w:val="003B079B"/>
    <w:rsid w:val="003D02E2"/>
    <w:rsid w:val="003D3C09"/>
    <w:rsid w:val="003F448A"/>
    <w:rsid w:val="00401519"/>
    <w:rsid w:val="00404BE4"/>
    <w:rsid w:val="00413AD0"/>
    <w:rsid w:val="00461B3D"/>
    <w:rsid w:val="00466CBD"/>
    <w:rsid w:val="00467785"/>
    <w:rsid w:val="004874D5"/>
    <w:rsid w:val="00497E61"/>
    <w:rsid w:val="004B2773"/>
    <w:rsid w:val="00501D0E"/>
    <w:rsid w:val="0050567B"/>
    <w:rsid w:val="00517260"/>
    <w:rsid w:val="00517709"/>
    <w:rsid w:val="00522102"/>
    <w:rsid w:val="00522DF4"/>
    <w:rsid w:val="00556365"/>
    <w:rsid w:val="00571968"/>
    <w:rsid w:val="00582369"/>
    <w:rsid w:val="00592C06"/>
    <w:rsid w:val="005B631A"/>
    <w:rsid w:val="005B6668"/>
    <w:rsid w:val="005C12A2"/>
    <w:rsid w:val="005C2A77"/>
    <w:rsid w:val="005D0A67"/>
    <w:rsid w:val="005D2854"/>
    <w:rsid w:val="005E2A2C"/>
    <w:rsid w:val="005F037B"/>
    <w:rsid w:val="005F136C"/>
    <w:rsid w:val="00645991"/>
    <w:rsid w:val="00650C76"/>
    <w:rsid w:val="00652A6A"/>
    <w:rsid w:val="00661CF8"/>
    <w:rsid w:val="0067722F"/>
    <w:rsid w:val="006800F5"/>
    <w:rsid w:val="00682507"/>
    <w:rsid w:val="00693713"/>
    <w:rsid w:val="00694F86"/>
    <w:rsid w:val="006B4251"/>
    <w:rsid w:val="006C3B23"/>
    <w:rsid w:val="006C5A20"/>
    <w:rsid w:val="006C7D90"/>
    <w:rsid w:val="006D6F3B"/>
    <w:rsid w:val="006E30C4"/>
    <w:rsid w:val="006E3245"/>
    <w:rsid w:val="006F182F"/>
    <w:rsid w:val="00703A4C"/>
    <w:rsid w:val="007079EF"/>
    <w:rsid w:val="00711230"/>
    <w:rsid w:val="00770FE5"/>
    <w:rsid w:val="007754D4"/>
    <w:rsid w:val="00782745"/>
    <w:rsid w:val="00782B83"/>
    <w:rsid w:val="00784758"/>
    <w:rsid w:val="007A3B95"/>
    <w:rsid w:val="007A4C4B"/>
    <w:rsid w:val="007A647A"/>
    <w:rsid w:val="007D0087"/>
    <w:rsid w:val="007D736F"/>
    <w:rsid w:val="007F1030"/>
    <w:rsid w:val="007F3FD5"/>
    <w:rsid w:val="00827A27"/>
    <w:rsid w:val="00830F14"/>
    <w:rsid w:val="00841D6B"/>
    <w:rsid w:val="00842225"/>
    <w:rsid w:val="00854149"/>
    <w:rsid w:val="008723E8"/>
    <w:rsid w:val="00873DA1"/>
    <w:rsid w:val="0088494C"/>
    <w:rsid w:val="008871CD"/>
    <w:rsid w:val="008A343A"/>
    <w:rsid w:val="008A67FA"/>
    <w:rsid w:val="008A77A5"/>
    <w:rsid w:val="008A78CA"/>
    <w:rsid w:val="008C310A"/>
    <w:rsid w:val="008C35AC"/>
    <w:rsid w:val="008E0C60"/>
    <w:rsid w:val="008F0C48"/>
    <w:rsid w:val="009120B8"/>
    <w:rsid w:val="00922269"/>
    <w:rsid w:val="00926ABA"/>
    <w:rsid w:val="00931D92"/>
    <w:rsid w:val="009413D7"/>
    <w:rsid w:val="0094384F"/>
    <w:rsid w:val="009446E2"/>
    <w:rsid w:val="009546CE"/>
    <w:rsid w:val="00966610"/>
    <w:rsid w:val="00967301"/>
    <w:rsid w:val="00971236"/>
    <w:rsid w:val="00984862"/>
    <w:rsid w:val="0099429E"/>
    <w:rsid w:val="00994F31"/>
    <w:rsid w:val="009B0133"/>
    <w:rsid w:val="009B177E"/>
    <w:rsid w:val="009C5064"/>
    <w:rsid w:val="009D132F"/>
    <w:rsid w:val="009F7A84"/>
    <w:rsid w:val="00A011E6"/>
    <w:rsid w:val="00A01FB1"/>
    <w:rsid w:val="00A176FA"/>
    <w:rsid w:val="00A272B6"/>
    <w:rsid w:val="00A278D2"/>
    <w:rsid w:val="00A31A97"/>
    <w:rsid w:val="00A42049"/>
    <w:rsid w:val="00A458E2"/>
    <w:rsid w:val="00A5587B"/>
    <w:rsid w:val="00A65041"/>
    <w:rsid w:val="00A72ADE"/>
    <w:rsid w:val="00A7719B"/>
    <w:rsid w:val="00A8136E"/>
    <w:rsid w:val="00A831A4"/>
    <w:rsid w:val="00AA2FB9"/>
    <w:rsid w:val="00AB6C3C"/>
    <w:rsid w:val="00AB6CEB"/>
    <w:rsid w:val="00AC6DA3"/>
    <w:rsid w:val="00AD558A"/>
    <w:rsid w:val="00B0067D"/>
    <w:rsid w:val="00B00CE3"/>
    <w:rsid w:val="00B01EB9"/>
    <w:rsid w:val="00B07CC7"/>
    <w:rsid w:val="00B12204"/>
    <w:rsid w:val="00B24073"/>
    <w:rsid w:val="00B2456F"/>
    <w:rsid w:val="00B42588"/>
    <w:rsid w:val="00B43767"/>
    <w:rsid w:val="00B43ADD"/>
    <w:rsid w:val="00B43BB3"/>
    <w:rsid w:val="00B5474E"/>
    <w:rsid w:val="00B55276"/>
    <w:rsid w:val="00B55707"/>
    <w:rsid w:val="00B6071B"/>
    <w:rsid w:val="00B7600D"/>
    <w:rsid w:val="00B8000F"/>
    <w:rsid w:val="00B96F30"/>
    <w:rsid w:val="00BA548D"/>
    <w:rsid w:val="00BB58D9"/>
    <w:rsid w:val="00BC06F8"/>
    <w:rsid w:val="00BC1DD1"/>
    <w:rsid w:val="00BC2120"/>
    <w:rsid w:val="00BD0ED6"/>
    <w:rsid w:val="00BE1E01"/>
    <w:rsid w:val="00C02020"/>
    <w:rsid w:val="00C10677"/>
    <w:rsid w:val="00C27A38"/>
    <w:rsid w:val="00C4573A"/>
    <w:rsid w:val="00C51EA1"/>
    <w:rsid w:val="00C73812"/>
    <w:rsid w:val="00C8596B"/>
    <w:rsid w:val="00CA7C31"/>
    <w:rsid w:val="00CB4240"/>
    <w:rsid w:val="00CC289D"/>
    <w:rsid w:val="00CE3D41"/>
    <w:rsid w:val="00D03426"/>
    <w:rsid w:val="00D05F7E"/>
    <w:rsid w:val="00D2034F"/>
    <w:rsid w:val="00D22353"/>
    <w:rsid w:val="00D23242"/>
    <w:rsid w:val="00D24300"/>
    <w:rsid w:val="00D4529E"/>
    <w:rsid w:val="00D53468"/>
    <w:rsid w:val="00D701B6"/>
    <w:rsid w:val="00D743B5"/>
    <w:rsid w:val="00D749B0"/>
    <w:rsid w:val="00D81A4B"/>
    <w:rsid w:val="00D85D98"/>
    <w:rsid w:val="00D92E4B"/>
    <w:rsid w:val="00DA18E8"/>
    <w:rsid w:val="00DA310F"/>
    <w:rsid w:val="00DB10FA"/>
    <w:rsid w:val="00DB3AD5"/>
    <w:rsid w:val="00DB5AFB"/>
    <w:rsid w:val="00DC480C"/>
    <w:rsid w:val="00DF089C"/>
    <w:rsid w:val="00E075AB"/>
    <w:rsid w:val="00E466CA"/>
    <w:rsid w:val="00E50930"/>
    <w:rsid w:val="00E52BE0"/>
    <w:rsid w:val="00E65A32"/>
    <w:rsid w:val="00E7264B"/>
    <w:rsid w:val="00E970E4"/>
    <w:rsid w:val="00E971F9"/>
    <w:rsid w:val="00E973C0"/>
    <w:rsid w:val="00EB4C07"/>
    <w:rsid w:val="00EB63AB"/>
    <w:rsid w:val="00ED3278"/>
    <w:rsid w:val="00ED6C29"/>
    <w:rsid w:val="00EF1087"/>
    <w:rsid w:val="00EF25F2"/>
    <w:rsid w:val="00EF49D0"/>
    <w:rsid w:val="00EF52DB"/>
    <w:rsid w:val="00EF61AA"/>
    <w:rsid w:val="00F010B6"/>
    <w:rsid w:val="00F02677"/>
    <w:rsid w:val="00F07034"/>
    <w:rsid w:val="00F11776"/>
    <w:rsid w:val="00F11830"/>
    <w:rsid w:val="00F132D1"/>
    <w:rsid w:val="00F22906"/>
    <w:rsid w:val="00F3064E"/>
    <w:rsid w:val="00F41F2D"/>
    <w:rsid w:val="00F4265F"/>
    <w:rsid w:val="00F46CE7"/>
    <w:rsid w:val="00F53601"/>
    <w:rsid w:val="00F571BA"/>
    <w:rsid w:val="00F609CD"/>
    <w:rsid w:val="00F65C30"/>
    <w:rsid w:val="00F66ECC"/>
    <w:rsid w:val="00F72A1B"/>
    <w:rsid w:val="00F7469D"/>
    <w:rsid w:val="00F914AA"/>
    <w:rsid w:val="00F91A9B"/>
    <w:rsid w:val="00F93732"/>
    <w:rsid w:val="00FA1521"/>
    <w:rsid w:val="00FA3668"/>
    <w:rsid w:val="00FA72C8"/>
    <w:rsid w:val="00FD116C"/>
    <w:rsid w:val="00FD63FE"/>
    <w:rsid w:val="00FE0F74"/>
    <w:rsid w:val="00FE2F2D"/>
    <w:rsid w:val="011A24F4"/>
    <w:rsid w:val="011E3D92"/>
    <w:rsid w:val="01253372"/>
    <w:rsid w:val="012A4E2C"/>
    <w:rsid w:val="012D2227"/>
    <w:rsid w:val="01396E1E"/>
    <w:rsid w:val="013D4B60"/>
    <w:rsid w:val="013E2686"/>
    <w:rsid w:val="015772A4"/>
    <w:rsid w:val="0187402D"/>
    <w:rsid w:val="018C1643"/>
    <w:rsid w:val="01AA1AC9"/>
    <w:rsid w:val="01BA61B0"/>
    <w:rsid w:val="01D7751B"/>
    <w:rsid w:val="01DD3C4D"/>
    <w:rsid w:val="01EE19B6"/>
    <w:rsid w:val="01F40F97"/>
    <w:rsid w:val="01F64D0F"/>
    <w:rsid w:val="01FE5971"/>
    <w:rsid w:val="02005B8D"/>
    <w:rsid w:val="020411DA"/>
    <w:rsid w:val="021533E7"/>
    <w:rsid w:val="02181129"/>
    <w:rsid w:val="0227136C"/>
    <w:rsid w:val="022E6257"/>
    <w:rsid w:val="0236335D"/>
    <w:rsid w:val="024C0DD3"/>
    <w:rsid w:val="02551A35"/>
    <w:rsid w:val="02604EBC"/>
    <w:rsid w:val="02691984"/>
    <w:rsid w:val="02704AC1"/>
    <w:rsid w:val="02720839"/>
    <w:rsid w:val="027F2F56"/>
    <w:rsid w:val="02873BB9"/>
    <w:rsid w:val="028B5457"/>
    <w:rsid w:val="02F6117F"/>
    <w:rsid w:val="0305345B"/>
    <w:rsid w:val="03065425"/>
    <w:rsid w:val="030B6598"/>
    <w:rsid w:val="03101E00"/>
    <w:rsid w:val="0313544C"/>
    <w:rsid w:val="03247961"/>
    <w:rsid w:val="032D4760"/>
    <w:rsid w:val="032F2286"/>
    <w:rsid w:val="032F672A"/>
    <w:rsid w:val="034E3158"/>
    <w:rsid w:val="03711FCB"/>
    <w:rsid w:val="0374238F"/>
    <w:rsid w:val="03824AAC"/>
    <w:rsid w:val="03A26EFC"/>
    <w:rsid w:val="03AD764F"/>
    <w:rsid w:val="03AE3AF3"/>
    <w:rsid w:val="03C835BC"/>
    <w:rsid w:val="03C9092D"/>
    <w:rsid w:val="03D35307"/>
    <w:rsid w:val="03E312C3"/>
    <w:rsid w:val="03E5503B"/>
    <w:rsid w:val="040000C7"/>
    <w:rsid w:val="04043713"/>
    <w:rsid w:val="04090B5E"/>
    <w:rsid w:val="04090D29"/>
    <w:rsid w:val="04133956"/>
    <w:rsid w:val="041D6583"/>
    <w:rsid w:val="042042C5"/>
    <w:rsid w:val="042F62B6"/>
    <w:rsid w:val="043F474B"/>
    <w:rsid w:val="04425FE9"/>
    <w:rsid w:val="044B45F3"/>
    <w:rsid w:val="044B7594"/>
    <w:rsid w:val="045D2E23"/>
    <w:rsid w:val="046F0EEB"/>
    <w:rsid w:val="04812FB5"/>
    <w:rsid w:val="04854128"/>
    <w:rsid w:val="049C7DEF"/>
    <w:rsid w:val="049F51EA"/>
    <w:rsid w:val="04AB3B8E"/>
    <w:rsid w:val="04B54A0D"/>
    <w:rsid w:val="04B844FD"/>
    <w:rsid w:val="04C133B2"/>
    <w:rsid w:val="04C335CE"/>
    <w:rsid w:val="04D72BD5"/>
    <w:rsid w:val="04E90B5B"/>
    <w:rsid w:val="04E946B7"/>
    <w:rsid w:val="04F217BD"/>
    <w:rsid w:val="053C512E"/>
    <w:rsid w:val="053E2C54"/>
    <w:rsid w:val="053E4A03"/>
    <w:rsid w:val="054144F3"/>
    <w:rsid w:val="054162A1"/>
    <w:rsid w:val="054F4E62"/>
    <w:rsid w:val="05526700"/>
    <w:rsid w:val="056F72B2"/>
    <w:rsid w:val="05776166"/>
    <w:rsid w:val="05837F22"/>
    <w:rsid w:val="05971D90"/>
    <w:rsid w:val="0599432F"/>
    <w:rsid w:val="05A0746B"/>
    <w:rsid w:val="05A625A8"/>
    <w:rsid w:val="05B66C8F"/>
    <w:rsid w:val="05C0366A"/>
    <w:rsid w:val="05CA098C"/>
    <w:rsid w:val="05DE1D42"/>
    <w:rsid w:val="05E13DD7"/>
    <w:rsid w:val="05E85773"/>
    <w:rsid w:val="05F11A75"/>
    <w:rsid w:val="060001D2"/>
    <w:rsid w:val="06190FCC"/>
    <w:rsid w:val="06257970"/>
    <w:rsid w:val="062A4F87"/>
    <w:rsid w:val="06316315"/>
    <w:rsid w:val="06336531"/>
    <w:rsid w:val="06581AF4"/>
    <w:rsid w:val="06677F89"/>
    <w:rsid w:val="06A56DD9"/>
    <w:rsid w:val="06C23411"/>
    <w:rsid w:val="06D3561E"/>
    <w:rsid w:val="06EE06AA"/>
    <w:rsid w:val="07007F1F"/>
    <w:rsid w:val="07091040"/>
    <w:rsid w:val="071F2612"/>
    <w:rsid w:val="0721282E"/>
    <w:rsid w:val="07247C28"/>
    <w:rsid w:val="072D4D2F"/>
    <w:rsid w:val="07342561"/>
    <w:rsid w:val="075F5104"/>
    <w:rsid w:val="07603356"/>
    <w:rsid w:val="07702E6D"/>
    <w:rsid w:val="07724E37"/>
    <w:rsid w:val="07846919"/>
    <w:rsid w:val="07972AF0"/>
    <w:rsid w:val="079F3753"/>
    <w:rsid w:val="07AD1FA7"/>
    <w:rsid w:val="07BC4304"/>
    <w:rsid w:val="07BF3534"/>
    <w:rsid w:val="07C733D5"/>
    <w:rsid w:val="07CD4764"/>
    <w:rsid w:val="07E6312F"/>
    <w:rsid w:val="07F65A68"/>
    <w:rsid w:val="07FB4E2D"/>
    <w:rsid w:val="080041F1"/>
    <w:rsid w:val="080D690E"/>
    <w:rsid w:val="08206641"/>
    <w:rsid w:val="082425D6"/>
    <w:rsid w:val="082500FC"/>
    <w:rsid w:val="08283748"/>
    <w:rsid w:val="082B15AE"/>
    <w:rsid w:val="082C148A"/>
    <w:rsid w:val="082F0F7A"/>
    <w:rsid w:val="08365E65"/>
    <w:rsid w:val="08471E20"/>
    <w:rsid w:val="085E58E2"/>
    <w:rsid w:val="086C1887"/>
    <w:rsid w:val="086E55FF"/>
    <w:rsid w:val="08901A19"/>
    <w:rsid w:val="08AC25CB"/>
    <w:rsid w:val="08CE42EF"/>
    <w:rsid w:val="08D64E61"/>
    <w:rsid w:val="08D84677"/>
    <w:rsid w:val="08DF474E"/>
    <w:rsid w:val="08E04AE9"/>
    <w:rsid w:val="08E43B13"/>
    <w:rsid w:val="08F0070A"/>
    <w:rsid w:val="08F301FA"/>
    <w:rsid w:val="090B5543"/>
    <w:rsid w:val="090E5EA3"/>
    <w:rsid w:val="091343F8"/>
    <w:rsid w:val="09173EE8"/>
    <w:rsid w:val="09306D58"/>
    <w:rsid w:val="09336848"/>
    <w:rsid w:val="09432689"/>
    <w:rsid w:val="09442803"/>
    <w:rsid w:val="094D16B8"/>
    <w:rsid w:val="095F3199"/>
    <w:rsid w:val="096A04BC"/>
    <w:rsid w:val="096E7880"/>
    <w:rsid w:val="099B68C7"/>
    <w:rsid w:val="09BF1E8A"/>
    <w:rsid w:val="09CF031F"/>
    <w:rsid w:val="09E518F1"/>
    <w:rsid w:val="09E638BB"/>
    <w:rsid w:val="09EF451D"/>
    <w:rsid w:val="0A287A2F"/>
    <w:rsid w:val="0A2D3298"/>
    <w:rsid w:val="0A391C3C"/>
    <w:rsid w:val="0A4E393A"/>
    <w:rsid w:val="0A6379BA"/>
    <w:rsid w:val="0A7113D6"/>
    <w:rsid w:val="0A782765"/>
    <w:rsid w:val="0A84735B"/>
    <w:rsid w:val="0A886720"/>
    <w:rsid w:val="0A8A693C"/>
    <w:rsid w:val="0A911A78"/>
    <w:rsid w:val="0A915D2D"/>
    <w:rsid w:val="0AA3355A"/>
    <w:rsid w:val="0AA479FE"/>
    <w:rsid w:val="0AAC0660"/>
    <w:rsid w:val="0AB15C77"/>
    <w:rsid w:val="0AB47515"/>
    <w:rsid w:val="0ABE2142"/>
    <w:rsid w:val="0ACA6D38"/>
    <w:rsid w:val="0AF3628F"/>
    <w:rsid w:val="0AFD2C6A"/>
    <w:rsid w:val="0AFD3C49"/>
    <w:rsid w:val="0B071D3B"/>
    <w:rsid w:val="0B1C06CC"/>
    <w:rsid w:val="0B372620"/>
    <w:rsid w:val="0B386398"/>
    <w:rsid w:val="0B4D1B47"/>
    <w:rsid w:val="0B4E6DAF"/>
    <w:rsid w:val="0B505490"/>
    <w:rsid w:val="0B52745A"/>
    <w:rsid w:val="0B5807E8"/>
    <w:rsid w:val="0B584344"/>
    <w:rsid w:val="0B5C5BE2"/>
    <w:rsid w:val="0B7A075E"/>
    <w:rsid w:val="0B8415DD"/>
    <w:rsid w:val="0B892720"/>
    <w:rsid w:val="0B8B471A"/>
    <w:rsid w:val="0BC11EE9"/>
    <w:rsid w:val="0BCE4606"/>
    <w:rsid w:val="0C0B7609"/>
    <w:rsid w:val="0C1E10EA"/>
    <w:rsid w:val="0C355862"/>
    <w:rsid w:val="0C360B29"/>
    <w:rsid w:val="0C3C5A14"/>
    <w:rsid w:val="0C460641"/>
    <w:rsid w:val="0C4B5C57"/>
    <w:rsid w:val="0C540FAF"/>
    <w:rsid w:val="0C5B0590"/>
    <w:rsid w:val="0C5E598A"/>
    <w:rsid w:val="0C654F6B"/>
    <w:rsid w:val="0C8C0749"/>
    <w:rsid w:val="0C9413AC"/>
    <w:rsid w:val="0C9F66CF"/>
    <w:rsid w:val="0CA737D5"/>
    <w:rsid w:val="0CAA0BCF"/>
    <w:rsid w:val="0CAA5073"/>
    <w:rsid w:val="0CAA6E21"/>
    <w:rsid w:val="0CAD06C0"/>
    <w:rsid w:val="0CB20307"/>
    <w:rsid w:val="0CEB1914"/>
    <w:rsid w:val="0D0436DB"/>
    <w:rsid w:val="0D116EA1"/>
    <w:rsid w:val="0D330BC5"/>
    <w:rsid w:val="0D352B8F"/>
    <w:rsid w:val="0D374B59"/>
    <w:rsid w:val="0D3F756A"/>
    <w:rsid w:val="0D4903E8"/>
    <w:rsid w:val="0D613984"/>
    <w:rsid w:val="0D6B0C4D"/>
    <w:rsid w:val="0D6E42F3"/>
    <w:rsid w:val="0D7511DD"/>
    <w:rsid w:val="0DAE46EF"/>
    <w:rsid w:val="0DD979BE"/>
    <w:rsid w:val="0DE10621"/>
    <w:rsid w:val="0E15651D"/>
    <w:rsid w:val="0E1704E7"/>
    <w:rsid w:val="0E1F739B"/>
    <w:rsid w:val="0E236E8B"/>
    <w:rsid w:val="0E447F27"/>
    <w:rsid w:val="0E4D7F59"/>
    <w:rsid w:val="0E6F3E7F"/>
    <w:rsid w:val="0E736502"/>
    <w:rsid w:val="0E79232B"/>
    <w:rsid w:val="0E835B7C"/>
    <w:rsid w:val="0EB61AAE"/>
    <w:rsid w:val="0ECA7307"/>
    <w:rsid w:val="0ED168E7"/>
    <w:rsid w:val="0ED4462A"/>
    <w:rsid w:val="0ED71A24"/>
    <w:rsid w:val="0EE4486D"/>
    <w:rsid w:val="0EED1247"/>
    <w:rsid w:val="0EF600FC"/>
    <w:rsid w:val="0F000F7B"/>
    <w:rsid w:val="0F1B7B63"/>
    <w:rsid w:val="0F205179"/>
    <w:rsid w:val="0F4E1CE6"/>
    <w:rsid w:val="0F53554E"/>
    <w:rsid w:val="0F59068B"/>
    <w:rsid w:val="0F5A4B2F"/>
    <w:rsid w:val="0F7E679D"/>
    <w:rsid w:val="0F8676D2"/>
    <w:rsid w:val="0F8D546E"/>
    <w:rsid w:val="0F9C6EF5"/>
    <w:rsid w:val="0FA77648"/>
    <w:rsid w:val="0FAE6C29"/>
    <w:rsid w:val="0FB73D28"/>
    <w:rsid w:val="0FCE1079"/>
    <w:rsid w:val="0FD06B9F"/>
    <w:rsid w:val="0FD20B69"/>
    <w:rsid w:val="0FD541B5"/>
    <w:rsid w:val="100625C1"/>
    <w:rsid w:val="101C2E9C"/>
    <w:rsid w:val="101C3B92"/>
    <w:rsid w:val="10401F77"/>
    <w:rsid w:val="10611EED"/>
    <w:rsid w:val="108160EB"/>
    <w:rsid w:val="109A3B9B"/>
    <w:rsid w:val="10A5627E"/>
    <w:rsid w:val="10AF4A06"/>
    <w:rsid w:val="10C2298C"/>
    <w:rsid w:val="10CC380A"/>
    <w:rsid w:val="10D97CD5"/>
    <w:rsid w:val="10DB1C9F"/>
    <w:rsid w:val="10DD6D05"/>
    <w:rsid w:val="10E548CC"/>
    <w:rsid w:val="10E87F18"/>
    <w:rsid w:val="10F16DCD"/>
    <w:rsid w:val="10F36FE9"/>
    <w:rsid w:val="10F92E76"/>
    <w:rsid w:val="11032FA4"/>
    <w:rsid w:val="11074842"/>
    <w:rsid w:val="110765F0"/>
    <w:rsid w:val="111D7BC2"/>
    <w:rsid w:val="1125116C"/>
    <w:rsid w:val="112A22DF"/>
    <w:rsid w:val="112E0021"/>
    <w:rsid w:val="113B0990"/>
    <w:rsid w:val="11457119"/>
    <w:rsid w:val="11625F1D"/>
    <w:rsid w:val="116752E1"/>
    <w:rsid w:val="116C28F7"/>
    <w:rsid w:val="1178129C"/>
    <w:rsid w:val="11A77DD3"/>
    <w:rsid w:val="11AC0F46"/>
    <w:rsid w:val="11AE1162"/>
    <w:rsid w:val="11B322D4"/>
    <w:rsid w:val="11C10E95"/>
    <w:rsid w:val="11CC15E8"/>
    <w:rsid w:val="11D16BFE"/>
    <w:rsid w:val="11D5049D"/>
    <w:rsid w:val="11DF756D"/>
    <w:rsid w:val="11F052D6"/>
    <w:rsid w:val="1202325C"/>
    <w:rsid w:val="12080872"/>
    <w:rsid w:val="120B0362"/>
    <w:rsid w:val="120E39AF"/>
    <w:rsid w:val="120F5084"/>
    <w:rsid w:val="1217196E"/>
    <w:rsid w:val="121976AB"/>
    <w:rsid w:val="121A05A5"/>
    <w:rsid w:val="12260CF8"/>
    <w:rsid w:val="12296A3A"/>
    <w:rsid w:val="124D44D7"/>
    <w:rsid w:val="12577104"/>
    <w:rsid w:val="126B2BAF"/>
    <w:rsid w:val="126D6927"/>
    <w:rsid w:val="12771554"/>
    <w:rsid w:val="12871AE1"/>
    <w:rsid w:val="12887C05"/>
    <w:rsid w:val="12A22FC5"/>
    <w:rsid w:val="12AB744F"/>
    <w:rsid w:val="12B74046"/>
    <w:rsid w:val="12D1335A"/>
    <w:rsid w:val="12DC3AAD"/>
    <w:rsid w:val="12E36BE9"/>
    <w:rsid w:val="12EA7F78"/>
    <w:rsid w:val="12ED5CBA"/>
    <w:rsid w:val="12EF1A32"/>
    <w:rsid w:val="12FB2185"/>
    <w:rsid w:val="13082AF4"/>
    <w:rsid w:val="13182D37"/>
    <w:rsid w:val="132F1E2E"/>
    <w:rsid w:val="13345697"/>
    <w:rsid w:val="13581385"/>
    <w:rsid w:val="136E0BA9"/>
    <w:rsid w:val="137837D5"/>
    <w:rsid w:val="139A7BF0"/>
    <w:rsid w:val="13BB36C2"/>
    <w:rsid w:val="13CF0812"/>
    <w:rsid w:val="13D12EE6"/>
    <w:rsid w:val="13DC1FB6"/>
    <w:rsid w:val="13E62E35"/>
    <w:rsid w:val="13F6294C"/>
    <w:rsid w:val="13FC61B5"/>
    <w:rsid w:val="13FF6BDA"/>
    <w:rsid w:val="142179C9"/>
    <w:rsid w:val="144D478C"/>
    <w:rsid w:val="144E2788"/>
    <w:rsid w:val="145204CA"/>
    <w:rsid w:val="14733F9D"/>
    <w:rsid w:val="14860F55"/>
    <w:rsid w:val="1497412F"/>
    <w:rsid w:val="14997EA7"/>
    <w:rsid w:val="149C34F4"/>
    <w:rsid w:val="14A10B0A"/>
    <w:rsid w:val="14BE790E"/>
    <w:rsid w:val="14D62EA9"/>
    <w:rsid w:val="14D812E7"/>
    <w:rsid w:val="14F670A8"/>
    <w:rsid w:val="14FE72DC"/>
    <w:rsid w:val="150A2B53"/>
    <w:rsid w:val="15127C5A"/>
    <w:rsid w:val="15521C0E"/>
    <w:rsid w:val="15542020"/>
    <w:rsid w:val="155D7127"/>
    <w:rsid w:val="156264EB"/>
    <w:rsid w:val="15671D54"/>
    <w:rsid w:val="157601E9"/>
    <w:rsid w:val="1582093B"/>
    <w:rsid w:val="158A77F0"/>
    <w:rsid w:val="158F3058"/>
    <w:rsid w:val="159266A5"/>
    <w:rsid w:val="159B7C4F"/>
    <w:rsid w:val="15A85EC8"/>
    <w:rsid w:val="15B11221"/>
    <w:rsid w:val="15C03212"/>
    <w:rsid w:val="15C153A3"/>
    <w:rsid w:val="15D02570"/>
    <w:rsid w:val="15F07F9B"/>
    <w:rsid w:val="15F31839"/>
    <w:rsid w:val="15F9724C"/>
    <w:rsid w:val="16013F56"/>
    <w:rsid w:val="161377E5"/>
    <w:rsid w:val="16223ECC"/>
    <w:rsid w:val="16493207"/>
    <w:rsid w:val="164E081E"/>
    <w:rsid w:val="16504596"/>
    <w:rsid w:val="1662251B"/>
    <w:rsid w:val="16632523"/>
    <w:rsid w:val="167A5AB7"/>
    <w:rsid w:val="167F131F"/>
    <w:rsid w:val="16822D1E"/>
    <w:rsid w:val="168626AD"/>
    <w:rsid w:val="168B1A72"/>
    <w:rsid w:val="169D3553"/>
    <w:rsid w:val="16A86180"/>
    <w:rsid w:val="16AA639C"/>
    <w:rsid w:val="16E01DBD"/>
    <w:rsid w:val="16E178E4"/>
    <w:rsid w:val="16EA2C3C"/>
    <w:rsid w:val="16EF2001"/>
    <w:rsid w:val="16F5513D"/>
    <w:rsid w:val="16F94C2D"/>
    <w:rsid w:val="171C4DC0"/>
    <w:rsid w:val="173C4B1A"/>
    <w:rsid w:val="173E0892"/>
    <w:rsid w:val="174639DD"/>
    <w:rsid w:val="17555BDC"/>
    <w:rsid w:val="17712A16"/>
    <w:rsid w:val="17773DA4"/>
    <w:rsid w:val="17872239"/>
    <w:rsid w:val="178F5592"/>
    <w:rsid w:val="179E3336"/>
    <w:rsid w:val="17B40B54"/>
    <w:rsid w:val="17D17958"/>
    <w:rsid w:val="17D54835"/>
    <w:rsid w:val="17EE050A"/>
    <w:rsid w:val="17F04282"/>
    <w:rsid w:val="17FD699F"/>
    <w:rsid w:val="18001FEB"/>
    <w:rsid w:val="18003D99"/>
    <w:rsid w:val="18335F1D"/>
    <w:rsid w:val="183B3024"/>
    <w:rsid w:val="18422604"/>
    <w:rsid w:val="18455BFA"/>
    <w:rsid w:val="18602A8A"/>
    <w:rsid w:val="18702CCD"/>
    <w:rsid w:val="187327BD"/>
    <w:rsid w:val="18934C0E"/>
    <w:rsid w:val="189746FE"/>
    <w:rsid w:val="189866C8"/>
    <w:rsid w:val="18A137CE"/>
    <w:rsid w:val="18A40BC9"/>
    <w:rsid w:val="18AC5CCF"/>
    <w:rsid w:val="18B828C6"/>
    <w:rsid w:val="18C33745"/>
    <w:rsid w:val="18C43019"/>
    <w:rsid w:val="18CD0120"/>
    <w:rsid w:val="18D114E5"/>
    <w:rsid w:val="18D23988"/>
    <w:rsid w:val="18D72D4C"/>
    <w:rsid w:val="18DF7E53"/>
    <w:rsid w:val="18E15979"/>
    <w:rsid w:val="18F953B8"/>
    <w:rsid w:val="190B50EC"/>
    <w:rsid w:val="192D6E10"/>
    <w:rsid w:val="19322678"/>
    <w:rsid w:val="193E2DCB"/>
    <w:rsid w:val="19493AC2"/>
    <w:rsid w:val="195F2D42"/>
    <w:rsid w:val="19622F5E"/>
    <w:rsid w:val="196640D0"/>
    <w:rsid w:val="1968609A"/>
    <w:rsid w:val="196D1903"/>
    <w:rsid w:val="19720CC7"/>
    <w:rsid w:val="197D7D98"/>
    <w:rsid w:val="199B6470"/>
    <w:rsid w:val="19B117EF"/>
    <w:rsid w:val="19B906A4"/>
    <w:rsid w:val="19D90D46"/>
    <w:rsid w:val="19D92AF4"/>
    <w:rsid w:val="19E80F89"/>
    <w:rsid w:val="19E82D37"/>
    <w:rsid w:val="19F16090"/>
    <w:rsid w:val="1A002777"/>
    <w:rsid w:val="1A037B71"/>
    <w:rsid w:val="1A231FC1"/>
    <w:rsid w:val="1A3F6DFB"/>
    <w:rsid w:val="1A444411"/>
    <w:rsid w:val="1A4C32C6"/>
    <w:rsid w:val="1A5B175B"/>
    <w:rsid w:val="1A7171D0"/>
    <w:rsid w:val="1A766595"/>
    <w:rsid w:val="1A7A42D7"/>
    <w:rsid w:val="1A807414"/>
    <w:rsid w:val="1AA44EB0"/>
    <w:rsid w:val="1AA73698"/>
    <w:rsid w:val="1AE6371B"/>
    <w:rsid w:val="1AE96D67"/>
    <w:rsid w:val="1AF5395E"/>
    <w:rsid w:val="1AFA5418"/>
    <w:rsid w:val="1AFD2812"/>
    <w:rsid w:val="1B0F0EC3"/>
    <w:rsid w:val="1B204184"/>
    <w:rsid w:val="1B2129A5"/>
    <w:rsid w:val="1B2D759B"/>
    <w:rsid w:val="1B46065D"/>
    <w:rsid w:val="1B4B5C73"/>
    <w:rsid w:val="1B6F3710"/>
    <w:rsid w:val="1B7900EB"/>
    <w:rsid w:val="1B943177"/>
    <w:rsid w:val="1BB11F7A"/>
    <w:rsid w:val="1BC11A92"/>
    <w:rsid w:val="1BC25F36"/>
    <w:rsid w:val="1BDF39E0"/>
    <w:rsid w:val="1BE37C5A"/>
    <w:rsid w:val="1BE85270"/>
    <w:rsid w:val="1BEC4D61"/>
    <w:rsid w:val="1BEC6B0F"/>
    <w:rsid w:val="1BEF65FF"/>
    <w:rsid w:val="1BF9747E"/>
    <w:rsid w:val="1C0E117B"/>
    <w:rsid w:val="1C136791"/>
    <w:rsid w:val="1C2C7853"/>
    <w:rsid w:val="1C33473D"/>
    <w:rsid w:val="1C4E1577"/>
    <w:rsid w:val="1C542906"/>
    <w:rsid w:val="1C580648"/>
    <w:rsid w:val="1C5E5533"/>
    <w:rsid w:val="1C6E7E6B"/>
    <w:rsid w:val="1C6F14EE"/>
    <w:rsid w:val="1C71170A"/>
    <w:rsid w:val="1C76287C"/>
    <w:rsid w:val="1C907DE2"/>
    <w:rsid w:val="1C9A0C60"/>
    <w:rsid w:val="1CA76EDA"/>
    <w:rsid w:val="1CAB4C1C"/>
    <w:rsid w:val="1CB11B06"/>
    <w:rsid w:val="1CB87339"/>
    <w:rsid w:val="1CD001DE"/>
    <w:rsid w:val="1CDD1F1D"/>
    <w:rsid w:val="1CEB14BC"/>
    <w:rsid w:val="1CF06AD2"/>
    <w:rsid w:val="1CFC5477"/>
    <w:rsid w:val="1D0460DA"/>
    <w:rsid w:val="1D0F7723"/>
    <w:rsid w:val="1D13456F"/>
    <w:rsid w:val="1D210A3A"/>
    <w:rsid w:val="1D232A04"/>
    <w:rsid w:val="1D306ECF"/>
    <w:rsid w:val="1D3A1AFC"/>
    <w:rsid w:val="1D3F5364"/>
    <w:rsid w:val="1D4D182F"/>
    <w:rsid w:val="1D666D95"/>
    <w:rsid w:val="1D69418F"/>
    <w:rsid w:val="1D792624"/>
    <w:rsid w:val="1D84721B"/>
    <w:rsid w:val="1D884F5D"/>
    <w:rsid w:val="1D9A4FDF"/>
    <w:rsid w:val="1D9B6A3E"/>
    <w:rsid w:val="1DA17DCD"/>
    <w:rsid w:val="1DB7139E"/>
    <w:rsid w:val="1DB7314C"/>
    <w:rsid w:val="1DB96EC4"/>
    <w:rsid w:val="1DBC0763"/>
    <w:rsid w:val="1DBE097F"/>
    <w:rsid w:val="1DBE44DB"/>
    <w:rsid w:val="1DD41F50"/>
    <w:rsid w:val="1DE34601"/>
    <w:rsid w:val="1DEC2126"/>
    <w:rsid w:val="1DFE521F"/>
    <w:rsid w:val="1E1D38F7"/>
    <w:rsid w:val="1E4D585F"/>
    <w:rsid w:val="1E4E3AB1"/>
    <w:rsid w:val="1E5312A9"/>
    <w:rsid w:val="1E544E3F"/>
    <w:rsid w:val="1E5D0198"/>
    <w:rsid w:val="1E71779F"/>
    <w:rsid w:val="1E8C45D9"/>
    <w:rsid w:val="1E933BB9"/>
    <w:rsid w:val="1EAF2075"/>
    <w:rsid w:val="1EB85578"/>
    <w:rsid w:val="1EBB6C6C"/>
    <w:rsid w:val="1EC57AEB"/>
    <w:rsid w:val="1ED85A70"/>
    <w:rsid w:val="1EDC730E"/>
    <w:rsid w:val="1EDD6BE3"/>
    <w:rsid w:val="1EE12B77"/>
    <w:rsid w:val="1EFC175F"/>
    <w:rsid w:val="1F0028D1"/>
    <w:rsid w:val="1F0C1276"/>
    <w:rsid w:val="1F1B770B"/>
    <w:rsid w:val="1F1F71FB"/>
    <w:rsid w:val="1F244811"/>
    <w:rsid w:val="1F2962CC"/>
    <w:rsid w:val="1F2C36C6"/>
    <w:rsid w:val="1F2E743E"/>
    <w:rsid w:val="1F42113B"/>
    <w:rsid w:val="1F703EFB"/>
    <w:rsid w:val="1F745799"/>
    <w:rsid w:val="1F833C2E"/>
    <w:rsid w:val="1F8D6E0B"/>
    <w:rsid w:val="1F971487"/>
    <w:rsid w:val="1FCB1131"/>
    <w:rsid w:val="1FEA7809"/>
    <w:rsid w:val="1FEB532F"/>
    <w:rsid w:val="1FF70178"/>
    <w:rsid w:val="2000527E"/>
    <w:rsid w:val="20020FF7"/>
    <w:rsid w:val="200A3A07"/>
    <w:rsid w:val="201C373B"/>
    <w:rsid w:val="2035321B"/>
    <w:rsid w:val="20360CA0"/>
    <w:rsid w:val="20476A09"/>
    <w:rsid w:val="20651585"/>
    <w:rsid w:val="20915A8E"/>
    <w:rsid w:val="20B41BC5"/>
    <w:rsid w:val="20B47E17"/>
    <w:rsid w:val="20E22BD6"/>
    <w:rsid w:val="20E406FC"/>
    <w:rsid w:val="20FA7F20"/>
    <w:rsid w:val="20FE0493"/>
    <w:rsid w:val="210B3EDB"/>
    <w:rsid w:val="211C7E96"/>
    <w:rsid w:val="212136FE"/>
    <w:rsid w:val="2129610F"/>
    <w:rsid w:val="21311468"/>
    <w:rsid w:val="21521B0A"/>
    <w:rsid w:val="215D400B"/>
    <w:rsid w:val="216058A9"/>
    <w:rsid w:val="21627873"/>
    <w:rsid w:val="217D46AD"/>
    <w:rsid w:val="21AB121A"/>
    <w:rsid w:val="21B06830"/>
    <w:rsid w:val="21B46321"/>
    <w:rsid w:val="21C1459A"/>
    <w:rsid w:val="21C35171"/>
    <w:rsid w:val="21D32A53"/>
    <w:rsid w:val="21E604A4"/>
    <w:rsid w:val="21E93AF0"/>
    <w:rsid w:val="21F20BF7"/>
    <w:rsid w:val="21F4496F"/>
    <w:rsid w:val="21FE57EE"/>
    <w:rsid w:val="220A6852"/>
    <w:rsid w:val="220D3C83"/>
    <w:rsid w:val="22123047"/>
    <w:rsid w:val="22124DF5"/>
    <w:rsid w:val="222D1C2F"/>
    <w:rsid w:val="2230171F"/>
    <w:rsid w:val="223374E5"/>
    <w:rsid w:val="22396826"/>
    <w:rsid w:val="223C1278"/>
    <w:rsid w:val="226118D9"/>
    <w:rsid w:val="227635D6"/>
    <w:rsid w:val="22794E74"/>
    <w:rsid w:val="229E48DB"/>
    <w:rsid w:val="22AA3280"/>
    <w:rsid w:val="22AD4B1E"/>
    <w:rsid w:val="22B1460E"/>
    <w:rsid w:val="22B61C24"/>
    <w:rsid w:val="22BB36DF"/>
    <w:rsid w:val="22D622C7"/>
    <w:rsid w:val="22EE13BE"/>
    <w:rsid w:val="23360FB7"/>
    <w:rsid w:val="23426EE9"/>
    <w:rsid w:val="238166D6"/>
    <w:rsid w:val="238803A7"/>
    <w:rsid w:val="23897339"/>
    <w:rsid w:val="238B1303"/>
    <w:rsid w:val="23A203FB"/>
    <w:rsid w:val="23E66539"/>
    <w:rsid w:val="23FA1FE5"/>
    <w:rsid w:val="24003A9F"/>
    <w:rsid w:val="24015121"/>
    <w:rsid w:val="240F3CE2"/>
    <w:rsid w:val="24150BCD"/>
    <w:rsid w:val="24261289"/>
    <w:rsid w:val="242A28CA"/>
    <w:rsid w:val="243472A5"/>
    <w:rsid w:val="24455956"/>
    <w:rsid w:val="244B0A92"/>
    <w:rsid w:val="246102B6"/>
    <w:rsid w:val="24612064"/>
    <w:rsid w:val="246F652F"/>
    <w:rsid w:val="24704055"/>
    <w:rsid w:val="247B1377"/>
    <w:rsid w:val="24853FA4"/>
    <w:rsid w:val="24A51F50"/>
    <w:rsid w:val="24A65CC9"/>
    <w:rsid w:val="24A81A41"/>
    <w:rsid w:val="24A85EE5"/>
    <w:rsid w:val="24B228BF"/>
    <w:rsid w:val="24B2466D"/>
    <w:rsid w:val="24BE3012"/>
    <w:rsid w:val="24C3687B"/>
    <w:rsid w:val="24DE1906"/>
    <w:rsid w:val="24E011DB"/>
    <w:rsid w:val="24EA02AB"/>
    <w:rsid w:val="24F353B2"/>
    <w:rsid w:val="250550E5"/>
    <w:rsid w:val="25115838"/>
    <w:rsid w:val="2522299D"/>
    <w:rsid w:val="252437BD"/>
    <w:rsid w:val="252A06A8"/>
    <w:rsid w:val="2536529E"/>
    <w:rsid w:val="25393BC7"/>
    <w:rsid w:val="253D5922"/>
    <w:rsid w:val="253D662D"/>
    <w:rsid w:val="253F4153"/>
    <w:rsid w:val="2540611D"/>
    <w:rsid w:val="2549584E"/>
    <w:rsid w:val="25545725"/>
    <w:rsid w:val="256736AA"/>
    <w:rsid w:val="256E7CC8"/>
    <w:rsid w:val="258B383C"/>
    <w:rsid w:val="2593624D"/>
    <w:rsid w:val="259D531E"/>
    <w:rsid w:val="25A71CF8"/>
    <w:rsid w:val="25AE3087"/>
    <w:rsid w:val="25B85CB3"/>
    <w:rsid w:val="25C428AA"/>
    <w:rsid w:val="25CB1E8B"/>
    <w:rsid w:val="25CE3729"/>
    <w:rsid w:val="25D32AED"/>
    <w:rsid w:val="25D80104"/>
    <w:rsid w:val="25D845A8"/>
    <w:rsid w:val="260232FA"/>
    <w:rsid w:val="26431A21"/>
    <w:rsid w:val="264439EB"/>
    <w:rsid w:val="264A2206"/>
    <w:rsid w:val="264B4D7A"/>
    <w:rsid w:val="26591245"/>
    <w:rsid w:val="265C2AE3"/>
    <w:rsid w:val="265E4AAD"/>
    <w:rsid w:val="26624D38"/>
    <w:rsid w:val="266D2F42"/>
    <w:rsid w:val="266F0A68"/>
    <w:rsid w:val="26795C3D"/>
    <w:rsid w:val="268F110A"/>
    <w:rsid w:val="26A821CC"/>
    <w:rsid w:val="26AA1AA0"/>
    <w:rsid w:val="26B02E56"/>
    <w:rsid w:val="26C1503C"/>
    <w:rsid w:val="26C3007C"/>
    <w:rsid w:val="26C863CA"/>
    <w:rsid w:val="26D94133"/>
    <w:rsid w:val="26DB60FD"/>
    <w:rsid w:val="26E054C2"/>
    <w:rsid w:val="26E428C0"/>
    <w:rsid w:val="26E72CF4"/>
    <w:rsid w:val="26EA00EF"/>
    <w:rsid w:val="26F40F6D"/>
    <w:rsid w:val="27005B64"/>
    <w:rsid w:val="27027B2E"/>
    <w:rsid w:val="270D0281"/>
    <w:rsid w:val="271B0BF0"/>
    <w:rsid w:val="2734580E"/>
    <w:rsid w:val="273870AC"/>
    <w:rsid w:val="274517C9"/>
    <w:rsid w:val="27516110"/>
    <w:rsid w:val="275B0FEC"/>
    <w:rsid w:val="27606603"/>
    <w:rsid w:val="277A3B68"/>
    <w:rsid w:val="279544FE"/>
    <w:rsid w:val="27B24862"/>
    <w:rsid w:val="27B34984"/>
    <w:rsid w:val="27B56A80"/>
    <w:rsid w:val="27B801ED"/>
    <w:rsid w:val="27D72D69"/>
    <w:rsid w:val="27E2526A"/>
    <w:rsid w:val="28011B94"/>
    <w:rsid w:val="28133675"/>
    <w:rsid w:val="28137B19"/>
    <w:rsid w:val="28177609"/>
    <w:rsid w:val="28292E99"/>
    <w:rsid w:val="282D0BDB"/>
    <w:rsid w:val="283830DC"/>
    <w:rsid w:val="284101E2"/>
    <w:rsid w:val="2859377E"/>
    <w:rsid w:val="285C326E"/>
    <w:rsid w:val="28616AD6"/>
    <w:rsid w:val="28620159"/>
    <w:rsid w:val="286F11F3"/>
    <w:rsid w:val="286F2FA1"/>
    <w:rsid w:val="287C121A"/>
    <w:rsid w:val="288822B5"/>
    <w:rsid w:val="289E73E3"/>
    <w:rsid w:val="289F315B"/>
    <w:rsid w:val="28A40771"/>
    <w:rsid w:val="28C2430A"/>
    <w:rsid w:val="28C36E49"/>
    <w:rsid w:val="28D252DE"/>
    <w:rsid w:val="28DB0637"/>
    <w:rsid w:val="28E82D54"/>
    <w:rsid w:val="28EA2628"/>
    <w:rsid w:val="28ED2118"/>
    <w:rsid w:val="28F2772E"/>
    <w:rsid w:val="28FD67FF"/>
    <w:rsid w:val="29211DC2"/>
    <w:rsid w:val="29235B3A"/>
    <w:rsid w:val="29253660"/>
    <w:rsid w:val="29355772"/>
    <w:rsid w:val="293715E5"/>
    <w:rsid w:val="29373393"/>
    <w:rsid w:val="294D2BB7"/>
    <w:rsid w:val="295403E9"/>
    <w:rsid w:val="295D104C"/>
    <w:rsid w:val="296323DA"/>
    <w:rsid w:val="29692C59"/>
    <w:rsid w:val="2987431B"/>
    <w:rsid w:val="298C7B83"/>
    <w:rsid w:val="298F1421"/>
    <w:rsid w:val="29AF73CD"/>
    <w:rsid w:val="29C63095"/>
    <w:rsid w:val="29D37560"/>
    <w:rsid w:val="29D532D8"/>
    <w:rsid w:val="29DD218D"/>
    <w:rsid w:val="29EC6874"/>
    <w:rsid w:val="29EE6148"/>
    <w:rsid w:val="29F15C38"/>
    <w:rsid w:val="2A0140CD"/>
    <w:rsid w:val="2A021804"/>
    <w:rsid w:val="2A257690"/>
    <w:rsid w:val="2A391AB9"/>
    <w:rsid w:val="2A5163EF"/>
    <w:rsid w:val="2A5C7555"/>
    <w:rsid w:val="2A693A20"/>
    <w:rsid w:val="2A750617"/>
    <w:rsid w:val="2A7A3E7F"/>
    <w:rsid w:val="2A7A5C2D"/>
    <w:rsid w:val="2A9A007E"/>
    <w:rsid w:val="2AA607D0"/>
    <w:rsid w:val="2AC27709"/>
    <w:rsid w:val="2AC82E3D"/>
    <w:rsid w:val="2ACB6489"/>
    <w:rsid w:val="2AD72263"/>
    <w:rsid w:val="2AE31A25"/>
    <w:rsid w:val="2AF92FF6"/>
    <w:rsid w:val="2B013C59"/>
    <w:rsid w:val="2B231E21"/>
    <w:rsid w:val="2B285689"/>
    <w:rsid w:val="2B406E77"/>
    <w:rsid w:val="2B5B377E"/>
    <w:rsid w:val="2B6D12EE"/>
    <w:rsid w:val="2B7B3A0B"/>
    <w:rsid w:val="2B7B7EAF"/>
    <w:rsid w:val="2B8C5C18"/>
    <w:rsid w:val="2BA2041D"/>
    <w:rsid w:val="2BB05DAB"/>
    <w:rsid w:val="2BB4516F"/>
    <w:rsid w:val="2BC74EA2"/>
    <w:rsid w:val="2BCA04EF"/>
    <w:rsid w:val="2BCA6741"/>
    <w:rsid w:val="2BD575BF"/>
    <w:rsid w:val="2BDD46C6"/>
    <w:rsid w:val="2BE94E19"/>
    <w:rsid w:val="2C2E35DC"/>
    <w:rsid w:val="2C414C55"/>
    <w:rsid w:val="2C5801F0"/>
    <w:rsid w:val="2C6941AB"/>
    <w:rsid w:val="2C6C77F8"/>
    <w:rsid w:val="2C7A3CC3"/>
    <w:rsid w:val="2C970D19"/>
    <w:rsid w:val="2CA64AB8"/>
    <w:rsid w:val="2CB216AE"/>
    <w:rsid w:val="2CCB451E"/>
    <w:rsid w:val="2CD31625"/>
    <w:rsid w:val="2CD755B9"/>
    <w:rsid w:val="2CDA259B"/>
    <w:rsid w:val="2CFB12A7"/>
    <w:rsid w:val="2CFC5020"/>
    <w:rsid w:val="2D016192"/>
    <w:rsid w:val="2D085772"/>
    <w:rsid w:val="2D39592C"/>
    <w:rsid w:val="2D3C71CA"/>
    <w:rsid w:val="2D406CBA"/>
    <w:rsid w:val="2D426ED6"/>
    <w:rsid w:val="2D494461"/>
    <w:rsid w:val="2D541CB0"/>
    <w:rsid w:val="2D6C147E"/>
    <w:rsid w:val="2D721210"/>
    <w:rsid w:val="2D74105A"/>
    <w:rsid w:val="2D7746A6"/>
    <w:rsid w:val="2D8079FF"/>
    <w:rsid w:val="2D8F19F0"/>
    <w:rsid w:val="2D9A2C02"/>
    <w:rsid w:val="2D9C5EBB"/>
    <w:rsid w:val="2DA01E4F"/>
    <w:rsid w:val="2DAA05D8"/>
    <w:rsid w:val="2DAA682A"/>
    <w:rsid w:val="2DAC4350"/>
    <w:rsid w:val="2DB256DE"/>
    <w:rsid w:val="2DB31B82"/>
    <w:rsid w:val="2DB41456"/>
    <w:rsid w:val="2DBB0A37"/>
    <w:rsid w:val="2DBD47AF"/>
    <w:rsid w:val="2DCD42C6"/>
    <w:rsid w:val="2DF6381D"/>
    <w:rsid w:val="2DFF6B75"/>
    <w:rsid w:val="2E0917A2"/>
    <w:rsid w:val="2E165C6D"/>
    <w:rsid w:val="2E2C723F"/>
    <w:rsid w:val="2E310CF9"/>
    <w:rsid w:val="2E474078"/>
    <w:rsid w:val="2E56075F"/>
    <w:rsid w:val="2E560BBA"/>
    <w:rsid w:val="2E5A00E0"/>
    <w:rsid w:val="2E5D1AEE"/>
    <w:rsid w:val="2E772BB0"/>
    <w:rsid w:val="2E9279E9"/>
    <w:rsid w:val="2EA25753"/>
    <w:rsid w:val="2ED33B5E"/>
    <w:rsid w:val="2ED7364E"/>
    <w:rsid w:val="2EE47B19"/>
    <w:rsid w:val="2EEE0998"/>
    <w:rsid w:val="2F1F6E53"/>
    <w:rsid w:val="2F204FF5"/>
    <w:rsid w:val="2F230642"/>
    <w:rsid w:val="2F2F5238"/>
    <w:rsid w:val="2F4A02C4"/>
    <w:rsid w:val="2F6A2714"/>
    <w:rsid w:val="2F950E14"/>
    <w:rsid w:val="2FA06136"/>
    <w:rsid w:val="2FA75F07"/>
    <w:rsid w:val="2FB219C5"/>
    <w:rsid w:val="2FB76FDC"/>
    <w:rsid w:val="2FD61B58"/>
    <w:rsid w:val="2FD7142C"/>
    <w:rsid w:val="2FDC6A42"/>
    <w:rsid w:val="2FE029D7"/>
    <w:rsid w:val="2FE778C1"/>
    <w:rsid w:val="2FF43D8C"/>
    <w:rsid w:val="30100E23"/>
    <w:rsid w:val="30240B15"/>
    <w:rsid w:val="30313232"/>
    <w:rsid w:val="30314FE0"/>
    <w:rsid w:val="3034062C"/>
    <w:rsid w:val="3034687E"/>
    <w:rsid w:val="303D3985"/>
    <w:rsid w:val="30592A22"/>
    <w:rsid w:val="30817D16"/>
    <w:rsid w:val="30823A8E"/>
    <w:rsid w:val="309D2676"/>
    <w:rsid w:val="30AC4667"/>
    <w:rsid w:val="30AD0B0B"/>
    <w:rsid w:val="30AE4883"/>
    <w:rsid w:val="30B73737"/>
    <w:rsid w:val="30BC04FD"/>
    <w:rsid w:val="30C3032E"/>
    <w:rsid w:val="30DC13F0"/>
    <w:rsid w:val="30E3452C"/>
    <w:rsid w:val="30F71D86"/>
    <w:rsid w:val="31010E56"/>
    <w:rsid w:val="31181CFC"/>
    <w:rsid w:val="311A1F18"/>
    <w:rsid w:val="31293F09"/>
    <w:rsid w:val="313A5268"/>
    <w:rsid w:val="31434FCB"/>
    <w:rsid w:val="31466869"/>
    <w:rsid w:val="31771119"/>
    <w:rsid w:val="318A2BFA"/>
    <w:rsid w:val="31AB2B70"/>
    <w:rsid w:val="31B61C41"/>
    <w:rsid w:val="31B934DF"/>
    <w:rsid w:val="31EB11BF"/>
    <w:rsid w:val="31F44517"/>
    <w:rsid w:val="32044820"/>
    <w:rsid w:val="320F30FF"/>
    <w:rsid w:val="32193F7E"/>
    <w:rsid w:val="321D581C"/>
    <w:rsid w:val="32236BAB"/>
    <w:rsid w:val="324539CE"/>
    <w:rsid w:val="324E3745"/>
    <w:rsid w:val="32584AA6"/>
    <w:rsid w:val="325925CC"/>
    <w:rsid w:val="32607DFF"/>
    <w:rsid w:val="32690A61"/>
    <w:rsid w:val="326F3B9E"/>
    <w:rsid w:val="32700042"/>
    <w:rsid w:val="32821B23"/>
    <w:rsid w:val="32843AED"/>
    <w:rsid w:val="32891103"/>
    <w:rsid w:val="32A56128"/>
    <w:rsid w:val="32A73338"/>
    <w:rsid w:val="32C4213C"/>
    <w:rsid w:val="32DD76BC"/>
    <w:rsid w:val="32E4633A"/>
    <w:rsid w:val="32ED1692"/>
    <w:rsid w:val="32F81DE5"/>
    <w:rsid w:val="32FA5B5D"/>
    <w:rsid w:val="33044C2E"/>
    <w:rsid w:val="331630E0"/>
    <w:rsid w:val="331F7372"/>
    <w:rsid w:val="3320259A"/>
    <w:rsid w:val="3330332D"/>
    <w:rsid w:val="333D0683"/>
    <w:rsid w:val="33484B1B"/>
    <w:rsid w:val="335E56A9"/>
    <w:rsid w:val="33B757FC"/>
    <w:rsid w:val="33CA5530"/>
    <w:rsid w:val="33CB5324"/>
    <w:rsid w:val="33F26834"/>
    <w:rsid w:val="33FB393B"/>
    <w:rsid w:val="34076784"/>
    <w:rsid w:val="340D366E"/>
    <w:rsid w:val="341D7D55"/>
    <w:rsid w:val="342C7F98"/>
    <w:rsid w:val="34441786"/>
    <w:rsid w:val="344A6670"/>
    <w:rsid w:val="344C063B"/>
    <w:rsid w:val="34525300"/>
    <w:rsid w:val="345614B9"/>
    <w:rsid w:val="345C0152"/>
    <w:rsid w:val="346534AA"/>
    <w:rsid w:val="34796F56"/>
    <w:rsid w:val="348A4CBF"/>
    <w:rsid w:val="349A75F8"/>
    <w:rsid w:val="34A35D81"/>
    <w:rsid w:val="34AB1E24"/>
    <w:rsid w:val="34BD5094"/>
    <w:rsid w:val="34D523DE"/>
    <w:rsid w:val="34E02B31"/>
    <w:rsid w:val="34FD7B87"/>
    <w:rsid w:val="35103416"/>
    <w:rsid w:val="3511718E"/>
    <w:rsid w:val="35154ED0"/>
    <w:rsid w:val="354457B6"/>
    <w:rsid w:val="35527ED3"/>
    <w:rsid w:val="35611EC4"/>
    <w:rsid w:val="356674DA"/>
    <w:rsid w:val="357F234A"/>
    <w:rsid w:val="3586192A"/>
    <w:rsid w:val="35A818A1"/>
    <w:rsid w:val="35AD5109"/>
    <w:rsid w:val="35B75F88"/>
    <w:rsid w:val="35C275C5"/>
    <w:rsid w:val="35D73F34"/>
    <w:rsid w:val="35DE6791"/>
    <w:rsid w:val="35E14DB3"/>
    <w:rsid w:val="35F72828"/>
    <w:rsid w:val="3612023A"/>
    <w:rsid w:val="361C5DEB"/>
    <w:rsid w:val="36211653"/>
    <w:rsid w:val="362A49AB"/>
    <w:rsid w:val="36372C24"/>
    <w:rsid w:val="36373EE6"/>
    <w:rsid w:val="363B0967"/>
    <w:rsid w:val="363B2715"/>
    <w:rsid w:val="36592B9B"/>
    <w:rsid w:val="36603F29"/>
    <w:rsid w:val="366A124C"/>
    <w:rsid w:val="366D6646"/>
    <w:rsid w:val="366F2084"/>
    <w:rsid w:val="367E6AA5"/>
    <w:rsid w:val="368045CB"/>
    <w:rsid w:val="368220F2"/>
    <w:rsid w:val="36A91D74"/>
    <w:rsid w:val="36B048E0"/>
    <w:rsid w:val="36B67FED"/>
    <w:rsid w:val="36BF3346"/>
    <w:rsid w:val="36C344B8"/>
    <w:rsid w:val="36CC5A63"/>
    <w:rsid w:val="36E20DE2"/>
    <w:rsid w:val="36E52680"/>
    <w:rsid w:val="36E96615"/>
    <w:rsid w:val="36F17277"/>
    <w:rsid w:val="370A0339"/>
    <w:rsid w:val="37113475"/>
    <w:rsid w:val="372431A9"/>
    <w:rsid w:val="3725246C"/>
    <w:rsid w:val="373158C6"/>
    <w:rsid w:val="374455F9"/>
    <w:rsid w:val="375A6BCB"/>
    <w:rsid w:val="37645C9B"/>
    <w:rsid w:val="378974B0"/>
    <w:rsid w:val="37A662B4"/>
    <w:rsid w:val="37A75B88"/>
    <w:rsid w:val="37D050DF"/>
    <w:rsid w:val="37E8067A"/>
    <w:rsid w:val="37FC2378"/>
    <w:rsid w:val="380D1E8F"/>
    <w:rsid w:val="383438BF"/>
    <w:rsid w:val="384B0C09"/>
    <w:rsid w:val="384B29B7"/>
    <w:rsid w:val="38557D77"/>
    <w:rsid w:val="385750D3"/>
    <w:rsid w:val="38637D01"/>
    <w:rsid w:val="38763ED8"/>
    <w:rsid w:val="3881462B"/>
    <w:rsid w:val="388A1731"/>
    <w:rsid w:val="389E51DD"/>
    <w:rsid w:val="38A04AB1"/>
    <w:rsid w:val="38B247E4"/>
    <w:rsid w:val="38BB5D8F"/>
    <w:rsid w:val="38D96215"/>
    <w:rsid w:val="38EF5A38"/>
    <w:rsid w:val="3905700A"/>
    <w:rsid w:val="390C0398"/>
    <w:rsid w:val="39113C01"/>
    <w:rsid w:val="391B4A7F"/>
    <w:rsid w:val="393D67A4"/>
    <w:rsid w:val="394E7CFE"/>
    <w:rsid w:val="39657AA9"/>
    <w:rsid w:val="396A3D3B"/>
    <w:rsid w:val="396C0E37"/>
    <w:rsid w:val="396E1053"/>
    <w:rsid w:val="39783C80"/>
    <w:rsid w:val="397B72CC"/>
    <w:rsid w:val="397D3044"/>
    <w:rsid w:val="39CE38A0"/>
    <w:rsid w:val="39D32C64"/>
    <w:rsid w:val="39D8471E"/>
    <w:rsid w:val="39F03816"/>
    <w:rsid w:val="3A06303A"/>
    <w:rsid w:val="3A104FF1"/>
    <w:rsid w:val="3A157721"/>
    <w:rsid w:val="3A1A6AE5"/>
    <w:rsid w:val="3A1C460B"/>
    <w:rsid w:val="3A1E65D5"/>
    <w:rsid w:val="3A35391F"/>
    <w:rsid w:val="3A371445"/>
    <w:rsid w:val="3A40479E"/>
    <w:rsid w:val="3A4678DA"/>
    <w:rsid w:val="3A485400"/>
    <w:rsid w:val="3A643572"/>
    <w:rsid w:val="3A8D375B"/>
    <w:rsid w:val="3A976388"/>
    <w:rsid w:val="3AA34D2C"/>
    <w:rsid w:val="3AC0143A"/>
    <w:rsid w:val="3ACA4067"/>
    <w:rsid w:val="3AD62A0C"/>
    <w:rsid w:val="3AD76784"/>
    <w:rsid w:val="3ADD1FEC"/>
    <w:rsid w:val="3AE07D2F"/>
    <w:rsid w:val="3AED7D56"/>
    <w:rsid w:val="3AFD61EB"/>
    <w:rsid w:val="3B225A7F"/>
    <w:rsid w:val="3B2A2D58"/>
    <w:rsid w:val="3B5F481A"/>
    <w:rsid w:val="3B651FE2"/>
    <w:rsid w:val="3B7A783B"/>
    <w:rsid w:val="3B842468"/>
    <w:rsid w:val="3B892174"/>
    <w:rsid w:val="3BA65288"/>
    <w:rsid w:val="3BB014AF"/>
    <w:rsid w:val="3BC62A80"/>
    <w:rsid w:val="3BCC3E0F"/>
    <w:rsid w:val="3BD57167"/>
    <w:rsid w:val="3BE9676F"/>
    <w:rsid w:val="3BFC46F4"/>
    <w:rsid w:val="3C0161AE"/>
    <w:rsid w:val="3C065573"/>
    <w:rsid w:val="3C0B4937"/>
    <w:rsid w:val="3C145EE2"/>
    <w:rsid w:val="3C2459F9"/>
    <w:rsid w:val="3C340332"/>
    <w:rsid w:val="3C355E58"/>
    <w:rsid w:val="3C391AE3"/>
    <w:rsid w:val="3C3E2F5F"/>
    <w:rsid w:val="3C447E49"/>
    <w:rsid w:val="3C4542ED"/>
    <w:rsid w:val="3C5207B8"/>
    <w:rsid w:val="3C6D114E"/>
    <w:rsid w:val="3C7921E9"/>
    <w:rsid w:val="3C8A61A4"/>
    <w:rsid w:val="3C991F43"/>
    <w:rsid w:val="3CA8662A"/>
    <w:rsid w:val="3CC50F8A"/>
    <w:rsid w:val="3CD411CD"/>
    <w:rsid w:val="3CED6DB5"/>
    <w:rsid w:val="3CFE624A"/>
    <w:rsid w:val="3D257C7B"/>
    <w:rsid w:val="3D271C45"/>
    <w:rsid w:val="3D363C36"/>
    <w:rsid w:val="3D3B749E"/>
    <w:rsid w:val="3D4A148F"/>
    <w:rsid w:val="3D4C5207"/>
    <w:rsid w:val="3D5440BC"/>
    <w:rsid w:val="3D74475E"/>
    <w:rsid w:val="3D960B78"/>
    <w:rsid w:val="3DD5344F"/>
    <w:rsid w:val="3DE713D4"/>
    <w:rsid w:val="3DEC0798"/>
    <w:rsid w:val="3DF5764D"/>
    <w:rsid w:val="3E155F41"/>
    <w:rsid w:val="3E1D4DF6"/>
    <w:rsid w:val="3E1D6BA4"/>
    <w:rsid w:val="3E2D328B"/>
    <w:rsid w:val="3E3363C7"/>
    <w:rsid w:val="3E4660FB"/>
    <w:rsid w:val="3E4E3514"/>
    <w:rsid w:val="3E551709"/>
    <w:rsid w:val="3E6A003B"/>
    <w:rsid w:val="3E6B3DB3"/>
    <w:rsid w:val="3E854E75"/>
    <w:rsid w:val="3E860BED"/>
    <w:rsid w:val="3E8A707B"/>
    <w:rsid w:val="3E9E1A93"/>
    <w:rsid w:val="3EA66B99"/>
    <w:rsid w:val="3EB70DA6"/>
    <w:rsid w:val="3EBC460F"/>
    <w:rsid w:val="3EC040FF"/>
    <w:rsid w:val="3EC11C25"/>
    <w:rsid w:val="3EDC084B"/>
    <w:rsid w:val="3EE53B65"/>
    <w:rsid w:val="3EE651E8"/>
    <w:rsid w:val="3EED2A1A"/>
    <w:rsid w:val="3EF21DDE"/>
    <w:rsid w:val="3EF45B57"/>
    <w:rsid w:val="3EFB5137"/>
    <w:rsid w:val="3EFC4A0B"/>
    <w:rsid w:val="3F0B2EA0"/>
    <w:rsid w:val="3F255D10"/>
    <w:rsid w:val="3F283A52"/>
    <w:rsid w:val="3F312907"/>
    <w:rsid w:val="3F3B3785"/>
    <w:rsid w:val="3F3B5533"/>
    <w:rsid w:val="3F446ADE"/>
    <w:rsid w:val="3F5D7BA0"/>
    <w:rsid w:val="3F696545"/>
    <w:rsid w:val="3F724CCD"/>
    <w:rsid w:val="3F934527"/>
    <w:rsid w:val="3F9422E3"/>
    <w:rsid w:val="3F9966FE"/>
    <w:rsid w:val="3F9B4224"/>
    <w:rsid w:val="3F9F3D14"/>
    <w:rsid w:val="3FA56E51"/>
    <w:rsid w:val="3FA7706D"/>
    <w:rsid w:val="3FBE7F13"/>
    <w:rsid w:val="3FDA69E1"/>
    <w:rsid w:val="3FF34060"/>
    <w:rsid w:val="3FFB4CC3"/>
    <w:rsid w:val="402661E4"/>
    <w:rsid w:val="402763DA"/>
    <w:rsid w:val="40291830"/>
    <w:rsid w:val="40307062"/>
    <w:rsid w:val="403C5A07"/>
    <w:rsid w:val="403F1053"/>
    <w:rsid w:val="40414DCB"/>
    <w:rsid w:val="4057639D"/>
    <w:rsid w:val="405E3BCF"/>
    <w:rsid w:val="40624D42"/>
    <w:rsid w:val="40646D0C"/>
    <w:rsid w:val="40664832"/>
    <w:rsid w:val="407231D7"/>
    <w:rsid w:val="40A90D35"/>
    <w:rsid w:val="40AD06B3"/>
    <w:rsid w:val="40B25CC9"/>
    <w:rsid w:val="40C477AB"/>
    <w:rsid w:val="40C81049"/>
    <w:rsid w:val="40D6429F"/>
    <w:rsid w:val="40E816EB"/>
    <w:rsid w:val="40E90FBF"/>
    <w:rsid w:val="40EA7211"/>
    <w:rsid w:val="40F0234E"/>
    <w:rsid w:val="40F55BB6"/>
    <w:rsid w:val="410B53D9"/>
    <w:rsid w:val="411918A4"/>
    <w:rsid w:val="411B561D"/>
    <w:rsid w:val="411C75E7"/>
    <w:rsid w:val="413B5CBF"/>
    <w:rsid w:val="415E7BFF"/>
    <w:rsid w:val="416B7C26"/>
    <w:rsid w:val="416D399E"/>
    <w:rsid w:val="416E3583"/>
    <w:rsid w:val="417411D1"/>
    <w:rsid w:val="41764F49"/>
    <w:rsid w:val="41986C6D"/>
    <w:rsid w:val="41A41AB6"/>
    <w:rsid w:val="41B415CD"/>
    <w:rsid w:val="41D028AB"/>
    <w:rsid w:val="41D37CA5"/>
    <w:rsid w:val="41E06866"/>
    <w:rsid w:val="41E225DE"/>
    <w:rsid w:val="41E2613A"/>
    <w:rsid w:val="41EE4ADF"/>
    <w:rsid w:val="41F701D2"/>
    <w:rsid w:val="41FF6CEC"/>
    <w:rsid w:val="422F3904"/>
    <w:rsid w:val="42442951"/>
    <w:rsid w:val="425C5EED"/>
    <w:rsid w:val="42672AE3"/>
    <w:rsid w:val="42674D95"/>
    <w:rsid w:val="42725710"/>
    <w:rsid w:val="42770F78"/>
    <w:rsid w:val="428216CB"/>
    <w:rsid w:val="42AC04F6"/>
    <w:rsid w:val="42BD1C6C"/>
    <w:rsid w:val="42BE6EC9"/>
    <w:rsid w:val="42C205F6"/>
    <w:rsid w:val="42C85330"/>
    <w:rsid w:val="42F02AD9"/>
    <w:rsid w:val="42F56341"/>
    <w:rsid w:val="431A7B56"/>
    <w:rsid w:val="43234C5C"/>
    <w:rsid w:val="432A5FEB"/>
    <w:rsid w:val="43421586"/>
    <w:rsid w:val="43430E5B"/>
    <w:rsid w:val="434A043B"/>
    <w:rsid w:val="435C016E"/>
    <w:rsid w:val="436F39FE"/>
    <w:rsid w:val="437E6337"/>
    <w:rsid w:val="43956342"/>
    <w:rsid w:val="439B47F3"/>
    <w:rsid w:val="43A062AD"/>
    <w:rsid w:val="43BB3439"/>
    <w:rsid w:val="43BE6733"/>
    <w:rsid w:val="43EA39CC"/>
    <w:rsid w:val="44240C8C"/>
    <w:rsid w:val="4427252A"/>
    <w:rsid w:val="442A5B77"/>
    <w:rsid w:val="4436276D"/>
    <w:rsid w:val="443864E5"/>
    <w:rsid w:val="443A225E"/>
    <w:rsid w:val="445A2900"/>
    <w:rsid w:val="4467501D"/>
    <w:rsid w:val="44784B34"/>
    <w:rsid w:val="447B4624"/>
    <w:rsid w:val="44801C3A"/>
    <w:rsid w:val="448160DE"/>
    <w:rsid w:val="44983428"/>
    <w:rsid w:val="44A1052F"/>
    <w:rsid w:val="44D51F86"/>
    <w:rsid w:val="44DF1057"/>
    <w:rsid w:val="44FD328B"/>
    <w:rsid w:val="45232CF2"/>
    <w:rsid w:val="4537679D"/>
    <w:rsid w:val="453942C3"/>
    <w:rsid w:val="45596713"/>
    <w:rsid w:val="45637592"/>
    <w:rsid w:val="456926CF"/>
    <w:rsid w:val="456C2437"/>
    <w:rsid w:val="45703A5D"/>
    <w:rsid w:val="457E43CC"/>
    <w:rsid w:val="4585575A"/>
    <w:rsid w:val="45997458"/>
    <w:rsid w:val="45A100BA"/>
    <w:rsid w:val="45B85B30"/>
    <w:rsid w:val="45B95404"/>
    <w:rsid w:val="45C0619F"/>
    <w:rsid w:val="45D466E2"/>
    <w:rsid w:val="45F823D0"/>
    <w:rsid w:val="45FD79E7"/>
    <w:rsid w:val="46054AED"/>
    <w:rsid w:val="4613720A"/>
    <w:rsid w:val="461716DC"/>
    <w:rsid w:val="462211FB"/>
    <w:rsid w:val="462F1C33"/>
    <w:rsid w:val="463E485E"/>
    <w:rsid w:val="46647A66"/>
    <w:rsid w:val="46674E60"/>
    <w:rsid w:val="466A4950"/>
    <w:rsid w:val="4670640B"/>
    <w:rsid w:val="468123C6"/>
    <w:rsid w:val="469814BD"/>
    <w:rsid w:val="46A00372"/>
    <w:rsid w:val="46CD560B"/>
    <w:rsid w:val="46D1677D"/>
    <w:rsid w:val="46D52711"/>
    <w:rsid w:val="46D70238"/>
    <w:rsid w:val="46DA1AD6"/>
    <w:rsid w:val="46E22739"/>
    <w:rsid w:val="46F26516"/>
    <w:rsid w:val="46F4698D"/>
    <w:rsid w:val="46F801AE"/>
    <w:rsid w:val="46FF153C"/>
    <w:rsid w:val="47370CD6"/>
    <w:rsid w:val="473F071A"/>
    <w:rsid w:val="473F7B8B"/>
    <w:rsid w:val="475278BE"/>
    <w:rsid w:val="475353E4"/>
    <w:rsid w:val="476870E2"/>
    <w:rsid w:val="47705F96"/>
    <w:rsid w:val="478A7058"/>
    <w:rsid w:val="47925F0D"/>
    <w:rsid w:val="47946129"/>
    <w:rsid w:val="47A619B8"/>
    <w:rsid w:val="47AD2D46"/>
    <w:rsid w:val="47BB36B5"/>
    <w:rsid w:val="47CD5197"/>
    <w:rsid w:val="47FC782A"/>
    <w:rsid w:val="480768FB"/>
    <w:rsid w:val="48194880"/>
    <w:rsid w:val="482A4397"/>
    <w:rsid w:val="482C010F"/>
    <w:rsid w:val="483D056E"/>
    <w:rsid w:val="484418FD"/>
    <w:rsid w:val="484F3DFE"/>
    <w:rsid w:val="48671147"/>
    <w:rsid w:val="487B1097"/>
    <w:rsid w:val="489F2FD7"/>
    <w:rsid w:val="48BF5427"/>
    <w:rsid w:val="48E22EC4"/>
    <w:rsid w:val="48E629B4"/>
    <w:rsid w:val="49137521"/>
    <w:rsid w:val="49221512"/>
    <w:rsid w:val="494E2307"/>
    <w:rsid w:val="49535B70"/>
    <w:rsid w:val="496D09DF"/>
    <w:rsid w:val="49706721"/>
    <w:rsid w:val="499046CE"/>
    <w:rsid w:val="49942410"/>
    <w:rsid w:val="49AA1C33"/>
    <w:rsid w:val="49B216EB"/>
    <w:rsid w:val="49BC54C3"/>
    <w:rsid w:val="49C10D2B"/>
    <w:rsid w:val="49C32A1F"/>
    <w:rsid w:val="49D2118A"/>
    <w:rsid w:val="49EA0282"/>
    <w:rsid w:val="4A0C54AD"/>
    <w:rsid w:val="4A280DAA"/>
    <w:rsid w:val="4A2A2D74"/>
    <w:rsid w:val="4A2B43F6"/>
    <w:rsid w:val="4A317C5F"/>
    <w:rsid w:val="4A374EDC"/>
    <w:rsid w:val="4A525E27"/>
    <w:rsid w:val="4A606796"/>
    <w:rsid w:val="4A62250E"/>
    <w:rsid w:val="4A742241"/>
    <w:rsid w:val="4A91694F"/>
    <w:rsid w:val="4AAA17BF"/>
    <w:rsid w:val="4AB16FF2"/>
    <w:rsid w:val="4AB97C54"/>
    <w:rsid w:val="4ABB577A"/>
    <w:rsid w:val="4ACA3C0F"/>
    <w:rsid w:val="4ACE54AE"/>
    <w:rsid w:val="4ADF590D"/>
    <w:rsid w:val="4AF44E02"/>
    <w:rsid w:val="4AFA62A3"/>
    <w:rsid w:val="4AFF5FAF"/>
    <w:rsid w:val="4B02784D"/>
    <w:rsid w:val="4B047121"/>
    <w:rsid w:val="4B0735C9"/>
    <w:rsid w:val="4B29302C"/>
    <w:rsid w:val="4B3425E6"/>
    <w:rsid w:val="4B35377F"/>
    <w:rsid w:val="4B475260"/>
    <w:rsid w:val="4B490FD8"/>
    <w:rsid w:val="4B5736F5"/>
    <w:rsid w:val="4B595344"/>
    <w:rsid w:val="4B5C6F5D"/>
    <w:rsid w:val="4B5F6A4E"/>
    <w:rsid w:val="4B644064"/>
    <w:rsid w:val="4B661B8A"/>
    <w:rsid w:val="4B6978CC"/>
    <w:rsid w:val="4B7047B7"/>
    <w:rsid w:val="4B751DCD"/>
    <w:rsid w:val="4B8D7117"/>
    <w:rsid w:val="4BA206E8"/>
    <w:rsid w:val="4BA601D9"/>
    <w:rsid w:val="4BB51514"/>
    <w:rsid w:val="4BCD1C09"/>
    <w:rsid w:val="4BE64A79"/>
    <w:rsid w:val="4C03387D"/>
    <w:rsid w:val="4C0849EF"/>
    <w:rsid w:val="4C0B2731"/>
    <w:rsid w:val="4C0D64AA"/>
    <w:rsid w:val="4C2D4456"/>
    <w:rsid w:val="4C324162"/>
    <w:rsid w:val="4C577725"/>
    <w:rsid w:val="4C5E0AB3"/>
    <w:rsid w:val="4C72630D"/>
    <w:rsid w:val="4C7622A1"/>
    <w:rsid w:val="4C9B5863"/>
    <w:rsid w:val="4CA26BF2"/>
    <w:rsid w:val="4CBF59F6"/>
    <w:rsid w:val="4CCA439B"/>
    <w:rsid w:val="4CD82614"/>
    <w:rsid w:val="4CE0771A"/>
    <w:rsid w:val="4CE47AF5"/>
    <w:rsid w:val="4D096C71"/>
    <w:rsid w:val="4D0B0C3B"/>
    <w:rsid w:val="4D1A70D0"/>
    <w:rsid w:val="4D1B3ED6"/>
    <w:rsid w:val="4D422183"/>
    <w:rsid w:val="4D447CA9"/>
    <w:rsid w:val="4D4952BF"/>
    <w:rsid w:val="4D4E0B28"/>
    <w:rsid w:val="4D600EC9"/>
    <w:rsid w:val="4D6420F9"/>
    <w:rsid w:val="4D677E3B"/>
    <w:rsid w:val="4D6D5452"/>
    <w:rsid w:val="4D6F6081"/>
    <w:rsid w:val="4D775FCB"/>
    <w:rsid w:val="4D901140"/>
    <w:rsid w:val="4D970721"/>
    <w:rsid w:val="4D9C1893"/>
    <w:rsid w:val="4DA22C22"/>
    <w:rsid w:val="4DA93FB0"/>
    <w:rsid w:val="4DAB7D28"/>
    <w:rsid w:val="4DB0533F"/>
    <w:rsid w:val="4DB55C61"/>
    <w:rsid w:val="4DBF37D4"/>
    <w:rsid w:val="4DC20265"/>
    <w:rsid w:val="4DC64B62"/>
    <w:rsid w:val="4DC80415"/>
    <w:rsid w:val="4DD70B1D"/>
    <w:rsid w:val="4DD92AE7"/>
    <w:rsid w:val="4DEA4CF4"/>
    <w:rsid w:val="4E041D43"/>
    <w:rsid w:val="4E121B55"/>
    <w:rsid w:val="4E17716C"/>
    <w:rsid w:val="4E192EE4"/>
    <w:rsid w:val="4E296E9F"/>
    <w:rsid w:val="4E2D4BE1"/>
    <w:rsid w:val="4E323FA5"/>
    <w:rsid w:val="4E361DB0"/>
    <w:rsid w:val="4E486D8B"/>
    <w:rsid w:val="4E5E123E"/>
    <w:rsid w:val="4E6525CD"/>
    <w:rsid w:val="4E6F51FA"/>
    <w:rsid w:val="4E91189D"/>
    <w:rsid w:val="4EA11ADF"/>
    <w:rsid w:val="4EA66BA2"/>
    <w:rsid w:val="4EAD187E"/>
    <w:rsid w:val="4EB62E28"/>
    <w:rsid w:val="4EC512BE"/>
    <w:rsid w:val="4ED80FF1"/>
    <w:rsid w:val="4ED84B13"/>
    <w:rsid w:val="4EE47996"/>
    <w:rsid w:val="4EE80B08"/>
    <w:rsid w:val="4EEF1E97"/>
    <w:rsid w:val="4EF456FF"/>
    <w:rsid w:val="4EF83441"/>
    <w:rsid w:val="4F1D4C56"/>
    <w:rsid w:val="4F271630"/>
    <w:rsid w:val="4F381A8F"/>
    <w:rsid w:val="4F55619D"/>
    <w:rsid w:val="4F58095E"/>
    <w:rsid w:val="4F5B752C"/>
    <w:rsid w:val="4F7B372A"/>
    <w:rsid w:val="4FDF63AF"/>
    <w:rsid w:val="4FE13ED5"/>
    <w:rsid w:val="4FE85264"/>
    <w:rsid w:val="4FE90FDC"/>
    <w:rsid w:val="502B6EFE"/>
    <w:rsid w:val="50373AF5"/>
    <w:rsid w:val="505B3C87"/>
    <w:rsid w:val="50666188"/>
    <w:rsid w:val="506B379F"/>
    <w:rsid w:val="506B7C43"/>
    <w:rsid w:val="50940F47"/>
    <w:rsid w:val="50AA42C7"/>
    <w:rsid w:val="50B05655"/>
    <w:rsid w:val="50C03AEB"/>
    <w:rsid w:val="50D21A70"/>
    <w:rsid w:val="50D650BC"/>
    <w:rsid w:val="50DD6E02"/>
    <w:rsid w:val="50ED2406"/>
    <w:rsid w:val="51112598"/>
    <w:rsid w:val="51147CA8"/>
    <w:rsid w:val="51273B6A"/>
    <w:rsid w:val="512A365A"/>
    <w:rsid w:val="512C2F2E"/>
    <w:rsid w:val="512F2A1E"/>
    <w:rsid w:val="51491D32"/>
    <w:rsid w:val="514E10F6"/>
    <w:rsid w:val="51542485"/>
    <w:rsid w:val="515B1A65"/>
    <w:rsid w:val="51644DBE"/>
    <w:rsid w:val="517A013D"/>
    <w:rsid w:val="517B2107"/>
    <w:rsid w:val="51857BC4"/>
    <w:rsid w:val="51A46F68"/>
    <w:rsid w:val="51BD44CE"/>
    <w:rsid w:val="51C94C21"/>
    <w:rsid w:val="51FD2B1C"/>
    <w:rsid w:val="5208399B"/>
    <w:rsid w:val="521265C8"/>
    <w:rsid w:val="52151C14"/>
    <w:rsid w:val="521A547C"/>
    <w:rsid w:val="521D0CD3"/>
    <w:rsid w:val="52306A4E"/>
    <w:rsid w:val="523C1897"/>
    <w:rsid w:val="52426781"/>
    <w:rsid w:val="52500E9E"/>
    <w:rsid w:val="525A7F6F"/>
    <w:rsid w:val="526112FD"/>
    <w:rsid w:val="52691F60"/>
    <w:rsid w:val="526A08A9"/>
    <w:rsid w:val="526D1A50"/>
    <w:rsid w:val="526D7CA2"/>
    <w:rsid w:val="52756B57"/>
    <w:rsid w:val="527821A3"/>
    <w:rsid w:val="528B1ED6"/>
    <w:rsid w:val="529214B7"/>
    <w:rsid w:val="52946FDD"/>
    <w:rsid w:val="529C0587"/>
    <w:rsid w:val="52AF3E17"/>
    <w:rsid w:val="52B72CCB"/>
    <w:rsid w:val="52C61160"/>
    <w:rsid w:val="52EA30A1"/>
    <w:rsid w:val="52EF06B7"/>
    <w:rsid w:val="52FE08FA"/>
    <w:rsid w:val="53204D14"/>
    <w:rsid w:val="532C39DF"/>
    <w:rsid w:val="532C5467"/>
    <w:rsid w:val="533267F6"/>
    <w:rsid w:val="535844AE"/>
    <w:rsid w:val="535B5D4C"/>
    <w:rsid w:val="53670B95"/>
    <w:rsid w:val="537B1F4B"/>
    <w:rsid w:val="53A72D40"/>
    <w:rsid w:val="53A92F5C"/>
    <w:rsid w:val="53B35B89"/>
    <w:rsid w:val="53BB67EB"/>
    <w:rsid w:val="53C27B7A"/>
    <w:rsid w:val="53C5766A"/>
    <w:rsid w:val="53FD6E04"/>
    <w:rsid w:val="5406153F"/>
    <w:rsid w:val="54372316"/>
    <w:rsid w:val="544113E6"/>
    <w:rsid w:val="544D1B39"/>
    <w:rsid w:val="5454111A"/>
    <w:rsid w:val="54576514"/>
    <w:rsid w:val="546B0211"/>
    <w:rsid w:val="547B1A46"/>
    <w:rsid w:val="549A0AF6"/>
    <w:rsid w:val="54CF07A0"/>
    <w:rsid w:val="54D20290"/>
    <w:rsid w:val="54DA0EF3"/>
    <w:rsid w:val="54DE6C35"/>
    <w:rsid w:val="54F324F8"/>
    <w:rsid w:val="54F40207"/>
    <w:rsid w:val="55164621"/>
    <w:rsid w:val="55287EB0"/>
    <w:rsid w:val="552A59D6"/>
    <w:rsid w:val="552D196B"/>
    <w:rsid w:val="55393E6B"/>
    <w:rsid w:val="553A5246"/>
    <w:rsid w:val="55515659"/>
    <w:rsid w:val="55546EF7"/>
    <w:rsid w:val="555E1B24"/>
    <w:rsid w:val="55684751"/>
    <w:rsid w:val="55760C1C"/>
    <w:rsid w:val="5588094F"/>
    <w:rsid w:val="559C17CB"/>
    <w:rsid w:val="55CB540B"/>
    <w:rsid w:val="55D50038"/>
    <w:rsid w:val="55E37D11"/>
    <w:rsid w:val="55F935FB"/>
    <w:rsid w:val="56150435"/>
    <w:rsid w:val="56222B52"/>
    <w:rsid w:val="56332FB1"/>
    <w:rsid w:val="564451BE"/>
    <w:rsid w:val="566969D2"/>
    <w:rsid w:val="56815ACA"/>
    <w:rsid w:val="568D0913"/>
    <w:rsid w:val="56955A19"/>
    <w:rsid w:val="56B934B6"/>
    <w:rsid w:val="56EA18C1"/>
    <w:rsid w:val="56F049FE"/>
    <w:rsid w:val="56F444EE"/>
    <w:rsid w:val="5714693E"/>
    <w:rsid w:val="571526B6"/>
    <w:rsid w:val="571E77BD"/>
    <w:rsid w:val="57284198"/>
    <w:rsid w:val="57392849"/>
    <w:rsid w:val="57405985"/>
    <w:rsid w:val="57743881"/>
    <w:rsid w:val="57783371"/>
    <w:rsid w:val="5781368F"/>
    <w:rsid w:val="578F06BB"/>
    <w:rsid w:val="57961A49"/>
    <w:rsid w:val="579B2BBB"/>
    <w:rsid w:val="57A001D2"/>
    <w:rsid w:val="57C93BCD"/>
    <w:rsid w:val="57D367F9"/>
    <w:rsid w:val="57E427B4"/>
    <w:rsid w:val="57E502DB"/>
    <w:rsid w:val="57F549C2"/>
    <w:rsid w:val="580E15DF"/>
    <w:rsid w:val="581A4428"/>
    <w:rsid w:val="583D1EC5"/>
    <w:rsid w:val="58515970"/>
    <w:rsid w:val="58575BCF"/>
    <w:rsid w:val="58580AAD"/>
    <w:rsid w:val="58733B38"/>
    <w:rsid w:val="587578B0"/>
    <w:rsid w:val="58801DB1"/>
    <w:rsid w:val="588B2C30"/>
    <w:rsid w:val="589C6BEB"/>
    <w:rsid w:val="58AB32D2"/>
    <w:rsid w:val="58AC04D8"/>
    <w:rsid w:val="58AF2A1A"/>
    <w:rsid w:val="58AF6F75"/>
    <w:rsid w:val="58BF28DA"/>
    <w:rsid w:val="58C16652"/>
    <w:rsid w:val="58C6010C"/>
    <w:rsid w:val="58EF7663"/>
    <w:rsid w:val="58F72073"/>
    <w:rsid w:val="590D7AE9"/>
    <w:rsid w:val="5915699E"/>
    <w:rsid w:val="591744C4"/>
    <w:rsid w:val="591A2206"/>
    <w:rsid w:val="591F15CA"/>
    <w:rsid w:val="59227859"/>
    <w:rsid w:val="593C217C"/>
    <w:rsid w:val="59464DA9"/>
    <w:rsid w:val="59605E6B"/>
    <w:rsid w:val="59613991"/>
    <w:rsid w:val="59653481"/>
    <w:rsid w:val="59875AED"/>
    <w:rsid w:val="5991071A"/>
    <w:rsid w:val="59A321FB"/>
    <w:rsid w:val="59AA358A"/>
    <w:rsid w:val="59B30690"/>
    <w:rsid w:val="59B44408"/>
    <w:rsid w:val="59C04B5B"/>
    <w:rsid w:val="59CF2FF0"/>
    <w:rsid w:val="59D64DC3"/>
    <w:rsid w:val="59E7033A"/>
    <w:rsid w:val="59EC3BA2"/>
    <w:rsid w:val="59F64A21"/>
    <w:rsid w:val="5A1804F3"/>
    <w:rsid w:val="5A1D1FAE"/>
    <w:rsid w:val="5A290952"/>
    <w:rsid w:val="5A2A0227"/>
    <w:rsid w:val="5A2C3F9F"/>
    <w:rsid w:val="5A403EEE"/>
    <w:rsid w:val="5A407A4A"/>
    <w:rsid w:val="5A5534F6"/>
    <w:rsid w:val="5A7122F9"/>
    <w:rsid w:val="5A721EAC"/>
    <w:rsid w:val="5A867B53"/>
    <w:rsid w:val="5AB81CD6"/>
    <w:rsid w:val="5AD05272"/>
    <w:rsid w:val="5ADE798F"/>
    <w:rsid w:val="5AEB20AC"/>
    <w:rsid w:val="5AEE56F8"/>
    <w:rsid w:val="5AF50835"/>
    <w:rsid w:val="5AFA409D"/>
    <w:rsid w:val="5AFE1DDF"/>
    <w:rsid w:val="5AFF7905"/>
    <w:rsid w:val="5B0311A3"/>
    <w:rsid w:val="5B0647F0"/>
    <w:rsid w:val="5B152C85"/>
    <w:rsid w:val="5B21162A"/>
    <w:rsid w:val="5B2353A2"/>
    <w:rsid w:val="5B4F43E9"/>
    <w:rsid w:val="5B523ED9"/>
    <w:rsid w:val="5B7E082A"/>
    <w:rsid w:val="5B8147BE"/>
    <w:rsid w:val="5B8604E4"/>
    <w:rsid w:val="5B920779"/>
    <w:rsid w:val="5BA364E3"/>
    <w:rsid w:val="5BA54009"/>
    <w:rsid w:val="5BAB5397"/>
    <w:rsid w:val="5BAD7361"/>
    <w:rsid w:val="5BBA55DA"/>
    <w:rsid w:val="5BBE50CA"/>
    <w:rsid w:val="5BC14BBB"/>
    <w:rsid w:val="5BC326E1"/>
    <w:rsid w:val="5BC56459"/>
    <w:rsid w:val="5BE01CD3"/>
    <w:rsid w:val="5BE2525D"/>
    <w:rsid w:val="5BEF34D6"/>
    <w:rsid w:val="5C052271"/>
    <w:rsid w:val="5C104215"/>
    <w:rsid w:val="5C34538D"/>
    <w:rsid w:val="5C401F83"/>
    <w:rsid w:val="5C4C0928"/>
    <w:rsid w:val="5C4C6B7A"/>
    <w:rsid w:val="5C5617A7"/>
    <w:rsid w:val="5C58107B"/>
    <w:rsid w:val="5C910A31"/>
    <w:rsid w:val="5CA00C74"/>
    <w:rsid w:val="5CA93FCD"/>
    <w:rsid w:val="5CB40A35"/>
    <w:rsid w:val="5CBD5382"/>
    <w:rsid w:val="5CC44962"/>
    <w:rsid w:val="5CC52489"/>
    <w:rsid w:val="5CC74453"/>
    <w:rsid w:val="5CEC5C67"/>
    <w:rsid w:val="5CF039A9"/>
    <w:rsid w:val="5D0134C1"/>
    <w:rsid w:val="5D16362E"/>
    <w:rsid w:val="5D1F428F"/>
    <w:rsid w:val="5D373386"/>
    <w:rsid w:val="5D43597C"/>
    <w:rsid w:val="5D4D6706"/>
    <w:rsid w:val="5D504448"/>
    <w:rsid w:val="5D5932FD"/>
    <w:rsid w:val="5D616655"/>
    <w:rsid w:val="5D683540"/>
    <w:rsid w:val="5D6B74D4"/>
    <w:rsid w:val="5D72616D"/>
    <w:rsid w:val="5D746389"/>
    <w:rsid w:val="5D7A7717"/>
    <w:rsid w:val="5D8365CC"/>
    <w:rsid w:val="5D8F750B"/>
    <w:rsid w:val="5D9702C9"/>
    <w:rsid w:val="5DB20C5F"/>
    <w:rsid w:val="5DD010E5"/>
    <w:rsid w:val="5DD961EC"/>
    <w:rsid w:val="5DE54B90"/>
    <w:rsid w:val="5E31427A"/>
    <w:rsid w:val="5E39152D"/>
    <w:rsid w:val="5E394EDC"/>
    <w:rsid w:val="5E431827"/>
    <w:rsid w:val="5E483371"/>
    <w:rsid w:val="5E4F5D8C"/>
    <w:rsid w:val="5E581806"/>
    <w:rsid w:val="5E5A37D0"/>
    <w:rsid w:val="5E93589B"/>
    <w:rsid w:val="5E9E44D5"/>
    <w:rsid w:val="5EA20CD3"/>
    <w:rsid w:val="5EB21D38"/>
    <w:rsid w:val="5EB6652D"/>
    <w:rsid w:val="5EE57234"/>
    <w:rsid w:val="5EE94B54"/>
    <w:rsid w:val="5EEE5CC7"/>
    <w:rsid w:val="5EF157B7"/>
    <w:rsid w:val="5EFA28BD"/>
    <w:rsid w:val="5EFF6126"/>
    <w:rsid w:val="5F265461"/>
    <w:rsid w:val="5F27742B"/>
    <w:rsid w:val="5F3F4774"/>
    <w:rsid w:val="5F487ACD"/>
    <w:rsid w:val="5F4B4EC7"/>
    <w:rsid w:val="5F5024DD"/>
    <w:rsid w:val="5F6D308F"/>
    <w:rsid w:val="5F77717F"/>
    <w:rsid w:val="5F7F2DC3"/>
    <w:rsid w:val="5F881C77"/>
    <w:rsid w:val="5FB32A6C"/>
    <w:rsid w:val="5FBC0493"/>
    <w:rsid w:val="5FBC5DC5"/>
    <w:rsid w:val="5FC30F01"/>
    <w:rsid w:val="5FC66C44"/>
    <w:rsid w:val="5FC93D7A"/>
    <w:rsid w:val="5FD04925"/>
    <w:rsid w:val="5FD924D3"/>
    <w:rsid w:val="5FDC6467"/>
    <w:rsid w:val="5FF92B75"/>
    <w:rsid w:val="5FFC08B7"/>
    <w:rsid w:val="602D0A71"/>
    <w:rsid w:val="602F2A3B"/>
    <w:rsid w:val="603E1C03"/>
    <w:rsid w:val="605204D7"/>
    <w:rsid w:val="60583D40"/>
    <w:rsid w:val="605E6E7C"/>
    <w:rsid w:val="60681AA9"/>
    <w:rsid w:val="6089214B"/>
    <w:rsid w:val="60912DAE"/>
    <w:rsid w:val="609E54CA"/>
    <w:rsid w:val="60A54AAB"/>
    <w:rsid w:val="60A70823"/>
    <w:rsid w:val="60B155C3"/>
    <w:rsid w:val="60B46A9C"/>
    <w:rsid w:val="60C767CF"/>
    <w:rsid w:val="60DB04CD"/>
    <w:rsid w:val="60E37983"/>
    <w:rsid w:val="60F668B1"/>
    <w:rsid w:val="60FF065F"/>
    <w:rsid w:val="60FF4339"/>
    <w:rsid w:val="61092146"/>
    <w:rsid w:val="610C4B2A"/>
    <w:rsid w:val="61124671"/>
    <w:rsid w:val="61131A15"/>
    <w:rsid w:val="61167757"/>
    <w:rsid w:val="611D2893"/>
    <w:rsid w:val="61251748"/>
    <w:rsid w:val="612C2AD6"/>
    <w:rsid w:val="61355E2F"/>
    <w:rsid w:val="613F280A"/>
    <w:rsid w:val="61413CA6"/>
    <w:rsid w:val="615269E1"/>
    <w:rsid w:val="61534507"/>
    <w:rsid w:val="615A7643"/>
    <w:rsid w:val="615E35D8"/>
    <w:rsid w:val="6171498D"/>
    <w:rsid w:val="61860438"/>
    <w:rsid w:val="61882403"/>
    <w:rsid w:val="61972646"/>
    <w:rsid w:val="61994561"/>
    <w:rsid w:val="61B9080E"/>
    <w:rsid w:val="61C471B3"/>
    <w:rsid w:val="61C6614F"/>
    <w:rsid w:val="61C96577"/>
    <w:rsid w:val="61CA2A1B"/>
    <w:rsid w:val="61D07906"/>
    <w:rsid w:val="61D54F1C"/>
    <w:rsid w:val="61DC274E"/>
    <w:rsid w:val="61DC6F58"/>
    <w:rsid w:val="61E41603"/>
    <w:rsid w:val="61E433B1"/>
    <w:rsid w:val="61FC4B9F"/>
    <w:rsid w:val="62161F3E"/>
    <w:rsid w:val="621C2B4B"/>
    <w:rsid w:val="62265778"/>
    <w:rsid w:val="623065F6"/>
    <w:rsid w:val="623C31ED"/>
    <w:rsid w:val="625E7607"/>
    <w:rsid w:val="62685D90"/>
    <w:rsid w:val="62744735"/>
    <w:rsid w:val="62791D4B"/>
    <w:rsid w:val="62894684"/>
    <w:rsid w:val="62913539"/>
    <w:rsid w:val="62D41677"/>
    <w:rsid w:val="62DD22DA"/>
    <w:rsid w:val="62E55633"/>
    <w:rsid w:val="62E95123"/>
    <w:rsid w:val="62EE098B"/>
    <w:rsid w:val="62F53AC8"/>
    <w:rsid w:val="62FD472A"/>
    <w:rsid w:val="63035AB9"/>
    <w:rsid w:val="630C7063"/>
    <w:rsid w:val="63260125"/>
    <w:rsid w:val="63267BA3"/>
    <w:rsid w:val="634E31D8"/>
    <w:rsid w:val="63604CB9"/>
    <w:rsid w:val="636B1FDC"/>
    <w:rsid w:val="63732C3E"/>
    <w:rsid w:val="637349EC"/>
    <w:rsid w:val="637D216D"/>
    <w:rsid w:val="63860BC4"/>
    <w:rsid w:val="63870498"/>
    <w:rsid w:val="63B214F0"/>
    <w:rsid w:val="63B3128D"/>
    <w:rsid w:val="63BA086D"/>
    <w:rsid w:val="63C11BFC"/>
    <w:rsid w:val="63F41FD1"/>
    <w:rsid w:val="63F90187"/>
    <w:rsid w:val="640B10C9"/>
    <w:rsid w:val="641C6E32"/>
    <w:rsid w:val="641F4B74"/>
    <w:rsid w:val="644B5969"/>
    <w:rsid w:val="64535682"/>
    <w:rsid w:val="64616F3B"/>
    <w:rsid w:val="646802C9"/>
    <w:rsid w:val="646C600B"/>
    <w:rsid w:val="64740A1C"/>
    <w:rsid w:val="64966BE4"/>
    <w:rsid w:val="649B41FB"/>
    <w:rsid w:val="64AF414A"/>
    <w:rsid w:val="64C51278"/>
    <w:rsid w:val="64CF0348"/>
    <w:rsid w:val="64DB5F60"/>
    <w:rsid w:val="64FD6C64"/>
    <w:rsid w:val="6502071E"/>
    <w:rsid w:val="652341F0"/>
    <w:rsid w:val="65240694"/>
    <w:rsid w:val="65257F68"/>
    <w:rsid w:val="652E1513"/>
    <w:rsid w:val="65312DB1"/>
    <w:rsid w:val="654C7BEB"/>
    <w:rsid w:val="6554084E"/>
    <w:rsid w:val="6558033E"/>
    <w:rsid w:val="655A5E64"/>
    <w:rsid w:val="657D5FF6"/>
    <w:rsid w:val="65A43583"/>
    <w:rsid w:val="65B17A4E"/>
    <w:rsid w:val="65B65064"/>
    <w:rsid w:val="65BA6903"/>
    <w:rsid w:val="65D976D1"/>
    <w:rsid w:val="65E6594A"/>
    <w:rsid w:val="65E816C2"/>
    <w:rsid w:val="65EE47FE"/>
    <w:rsid w:val="66072855"/>
    <w:rsid w:val="66083B12"/>
    <w:rsid w:val="661029C7"/>
    <w:rsid w:val="662F1D0C"/>
    <w:rsid w:val="66326DE1"/>
    <w:rsid w:val="663C1A0D"/>
    <w:rsid w:val="663F505A"/>
    <w:rsid w:val="664663E8"/>
    <w:rsid w:val="665705F5"/>
    <w:rsid w:val="66630D48"/>
    <w:rsid w:val="666B40A1"/>
    <w:rsid w:val="668C4743"/>
    <w:rsid w:val="6692162D"/>
    <w:rsid w:val="6695111E"/>
    <w:rsid w:val="66A03D4A"/>
    <w:rsid w:val="66A8411A"/>
    <w:rsid w:val="66AC6B93"/>
    <w:rsid w:val="66B07D06"/>
    <w:rsid w:val="66B21CD0"/>
    <w:rsid w:val="66B45A48"/>
    <w:rsid w:val="66C51A03"/>
    <w:rsid w:val="66DB2FD4"/>
    <w:rsid w:val="66E005EB"/>
    <w:rsid w:val="66EF6A80"/>
    <w:rsid w:val="66F61BBC"/>
    <w:rsid w:val="66F916AD"/>
    <w:rsid w:val="67193AFD"/>
    <w:rsid w:val="67256946"/>
    <w:rsid w:val="672901E4"/>
    <w:rsid w:val="67430B7A"/>
    <w:rsid w:val="67463BD6"/>
    <w:rsid w:val="67472418"/>
    <w:rsid w:val="67544B35"/>
    <w:rsid w:val="675B2367"/>
    <w:rsid w:val="67654F94"/>
    <w:rsid w:val="67696832"/>
    <w:rsid w:val="67705E13"/>
    <w:rsid w:val="677156E7"/>
    <w:rsid w:val="67746F85"/>
    <w:rsid w:val="67896ED4"/>
    <w:rsid w:val="67955879"/>
    <w:rsid w:val="67A64876"/>
    <w:rsid w:val="67A71109"/>
    <w:rsid w:val="67B0620F"/>
    <w:rsid w:val="67BC2E06"/>
    <w:rsid w:val="67D43D2A"/>
    <w:rsid w:val="67E4235D"/>
    <w:rsid w:val="67EC2FBF"/>
    <w:rsid w:val="67F00D02"/>
    <w:rsid w:val="67FA56DC"/>
    <w:rsid w:val="6817003C"/>
    <w:rsid w:val="6828049B"/>
    <w:rsid w:val="682B7F8C"/>
    <w:rsid w:val="683A3D2B"/>
    <w:rsid w:val="68420E31"/>
    <w:rsid w:val="684D7F02"/>
    <w:rsid w:val="68594AF9"/>
    <w:rsid w:val="6865349E"/>
    <w:rsid w:val="68692862"/>
    <w:rsid w:val="68725BBA"/>
    <w:rsid w:val="688558EE"/>
    <w:rsid w:val="68996CA3"/>
    <w:rsid w:val="689C2C37"/>
    <w:rsid w:val="68AB69D7"/>
    <w:rsid w:val="68B41D2F"/>
    <w:rsid w:val="68C161FA"/>
    <w:rsid w:val="68CF0917"/>
    <w:rsid w:val="68D128E1"/>
    <w:rsid w:val="68D50259"/>
    <w:rsid w:val="68EF720B"/>
    <w:rsid w:val="690507DD"/>
    <w:rsid w:val="69117181"/>
    <w:rsid w:val="69205616"/>
    <w:rsid w:val="69272501"/>
    <w:rsid w:val="693E784B"/>
    <w:rsid w:val="694D1036"/>
    <w:rsid w:val="69561038"/>
    <w:rsid w:val="69583A9D"/>
    <w:rsid w:val="696C085C"/>
    <w:rsid w:val="696F20FA"/>
    <w:rsid w:val="697B284D"/>
    <w:rsid w:val="69831701"/>
    <w:rsid w:val="69915C80"/>
    <w:rsid w:val="69937B96"/>
    <w:rsid w:val="69961435"/>
    <w:rsid w:val="69A51678"/>
    <w:rsid w:val="69F30635"/>
    <w:rsid w:val="69F34AD9"/>
    <w:rsid w:val="69FA7C16"/>
    <w:rsid w:val="69FC1BE0"/>
    <w:rsid w:val="6A2151A2"/>
    <w:rsid w:val="6A222CC8"/>
    <w:rsid w:val="6A2E3D63"/>
    <w:rsid w:val="6A31115D"/>
    <w:rsid w:val="6A3203B9"/>
    <w:rsid w:val="6A417448"/>
    <w:rsid w:val="6A5A06B4"/>
    <w:rsid w:val="6A641533"/>
    <w:rsid w:val="6A6B28C1"/>
    <w:rsid w:val="6A6D03E7"/>
    <w:rsid w:val="6A6E4160"/>
    <w:rsid w:val="6A7C062B"/>
    <w:rsid w:val="6A885221"/>
    <w:rsid w:val="6A941E18"/>
    <w:rsid w:val="6A993D3A"/>
    <w:rsid w:val="6A9C0CCD"/>
    <w:rsid w:val="6AB06526"/>
    <w:rsid w:val="6ABC4ECB"/>
    <w:rsid w:val="6AC0773B"/>
    <w:rsid w:val="6AC36259"/>
    <w:rsid w:val="6ACF2E50"/>
    <w:rsid w:val="6AD06BC8"/>
    <w:rsid w:val="6AEF34F2"/>
    <w:rsid w:val="6B144D07"/>
    <w:rsid w:val="6B1E16E2"/>
    <w:rsid w:val="6B3E7FD6"/>
    <w:rsid w:val="6B4C26F3"/>
    <w:rsid w:val="6B543355"/>
    <w:rsid w:val="6B570FE1"/>
    <w:rsid w:val="6B6932A5"/>
    <w:rsid w:val="6B6F17F0"/>
    <w:rsid w:val="6B8F0831"/>
    <w:rsid w:val="6B90289A"/>
    <w:rsid w:val="6B9B358D"/>
    <w:rsid w:val="6BAC13E3"/>
    <w:rsid w:val="6BB43DF4"/>
    <w:rsid w:val="6BBA3B00"/>
    <w:rsid w:val="6BCF6E80"/>
    <w:rsid w:val="6BDB3A77"/>
    <w:rsid w:val="6BE446D9"/>
    <w:rsid w:val="6BEF307E"/>
    <w:rsid w:val="6BFD1C3F"/>
    <w:rsid w:val="6C066D46"/>
    <w:rsid w:val="6C0905E4"/>
    <w:rsid w:val="6C0F54CE"/>
    <w:rsid w:val="6C1A459F"/>
    <w:rsid w:val="6C1F3963"/>
    <w:rsid w:val="6C296590"/>
    <w:rsid w:val="6C2C7E2E"/>
    <w:rsid w:val="6C354F35"/>
    <w:rsid w:val="6C3D203B"/>
    <w:rsid w:val="6C40252E"/>
    <w:rsid w:val="6C427652"/>
    <w:rsid w:val="6C506213"/>
    <w:rsid w:val="6C580C23"/>
    <w:rsid w:val="6C5A499B"/>
    <w:rsid w:val="6C5F0204"/>
    <w:rsid w:val="6C692E30"/>
    <w:rsid w:val="6CA67BE1"/>
    <w:rsid w:val="6CE801F9"/>
    <w:rsid w:val="6CF05300"/>
    <w:rsid w:val="6D172DCB"/>
    <w:rsid w:val="6D323B6A"/>
    <w:rsid w:val="6D3671B7"/>
    <w:rsid w:val="6D490077"/>
    <w:rsid w:val="6D4A4A10"/>
    <w:rsid w:val="6D4D2752"/>
    <w:rsid w:val="6D5910F7"/>
    <w:rsid w:val="6D5B09CB"/>
    <w:rsid w:val="6D885538"/>
    <w:rsid w:val="6D943EDD"/>
    <w:rsid w:val="6DA46816"/>
    <w:rsid w:val="6DB1683D"/>
    <w:rsid w:val="6DB8406F"/>
    <w:rsid w:val="6DBE0F5A"/>
    <w:rsid w:val="6DBE71AC"/>
    <w:rsid w:val="6DC76061"/>
    <w:rsid w:val="6DE07122"/>
    <w:rsid w:val="6DE35975"/>
    <w:rsid w:val="6DEA7FA1"/>
    <w:rsid w:val="6DEC1F6B"/>
    <w:rsid w:val="6DFD7CD4"/>
    <w:rsid w:val="6DFF3A4C"/>
    <w:rsid w:val="6E005A16"/>
    <w:rsid w:val="6E0F7A08"/>
    <w:rsid w:val="6E2A65EF"/>
    <w:rsid w:val="6E2E7E8E"/>
    <w:rsid w:val="6E510020"/>
    <w:rsid w:val="6E5F44EB"/>
    <w:rsid w:val="6E6B7334"/>
    <w:rsid w:val="6E6E0BD2"/>
    <w:rsid w:val="6E7004A6"/>
    <w:rsid w:val="6E732FA9"/>
    <w:rsid w:val="6E7D7067"/>
    <w:rsid w:val="6E896EA8"/>
    <w:rsid w:val="6EB56801"/>
    <w:rsid w:val="6EC95E08"/>
    <w:rsid w:val="6ED529FF"/>
    <w:rsid w:val="6EE40E94"/>
    <w:rsid w:val="6EE669BA"/>
    <w:rsid w:val="6F0E7CBF"/>
    <w:rsid w:val="6F141779"/>
    <w:rsid w:val="6F3911E0"/>
    <w:rsid w:val="6F4436E1"/>
    <w:rsid w:val="6F452166"/>
    <w:rsid w:val="6F5222A2"/>
    <w:rsid w:val="6F5735C5"/>
    <w:rsid w:val="6F683873"/>
    <w:rsid w:val="6F685E7E"/>
    <w:rsid w:val="6F6F69B0"/>
    <w:rsid w:val="6F906926"/>
    <w:rsid w:val="6F926B42"/>
    <w:rsid w:val="6F991C7F"/>
    <w:rsid w:val="6FA0300D"/>
    <w:rsid w:val="6FA81EC2"/>
    <w:rsid w:val="6FAA3E8C"/>
    <w:rsid w:val="6FAF14A2"/>
    <w:rsid w:val="6FAF3250"/>
    <w:rsid w:val="6FCF56A0"/>
    <w:rsid w:val="6FD26F3F"/>
    <w:rsid w:val="6FDC1B6B"/>
    <w:rsid w:val="6FDD600F"/>
    <w:rsid w:val="6FE0165C"/>
    <w:rsid w:val="6FE56C72"/>
    <w:rsid w:val="6FF375E1"/>
    <w:rsid w:val="6FF670D1"/>
    <w:rsid w:val="70032CC0"/>
    <w:rsid w:val="70343755"/>
    <w:rsid w:val="704B11CB"/>
    <w:rsid w:val="704C0A9F"/>
    <w:rsid w:val="704C4F43"/>
    <w:rsid w:val="707029DF"/>
    <w:rsid w:val="70770B8F"/>
    <w:rsid w:val="707D334E"/>
    <w:rsid w:val="70877D29"/>
    <w:rsid w:val="709541F4"/>
    <w:rsid w:val="709F1517"/>
    <w:rsid w:val="70AB3A18"/>
    <w:rsid w:val="70AE3508"/>
    <w:rsid w:val="70B825D8"/>
    <w:rsid w:val="70C04FE9"/>
    <w:rsid w:val="70EB475C"/>
    <w:rsid w:val="71325EE7"/>
    <w:rsid w:val="713A2FED"/>
    <w:rsid w:val="713F0604"/>
    <w:rsid w:val="714025F2"/>
    <w:rsid w:val="714967AA"/>
    <w:rsid w:val="714E0847"/>
    <w:rsid w:val="71520337"/>
    <w:rsid w:val="71665B90"/>
    <w:rsid w:val="716F713B"/>
    <w:rsid w:val="717E112C"/>
    <w:rsid w:val="71922E29"/>
    <w:rsid w:val="719E17CE"/>
    <w:rsid w:val="71A130D0"/>
    <w:rsid w:val="71B2527A"/>
    <w:rsid w:val="71C22345"/>
    <w:rsid w:val="71C32FE3"/>
    <w:rsid w:val="71C84B3A"/>
    <w:rsid w:val="71D945B4"/>
    <w:rsid w:val="71DF315D"/>
    <w:rsid w:val="71E02DC1"/>
    <w:rsid w:val="71E52F59"/>
    <w:rsid w:val="72071122"/>
    <w:rsid w:val="721B697B"/>
    <w:rsid w:val="723839D1"/>
    <w:rsid w:val="723E2669"/>
    <w:rsid w:val="725E2D0C"/>
    <w:rsid w:val="725E2DC6"/>
    <w:rsid w:val="72640322"/>
    <w:rsid w:val="7275252F"/>
    <w:rsid w:val="727644F9"/>
    <w:rsid w:val="72783DCD"/>
    <w:rsid w:val="727918F3"/>
    <w:rsid w:val="72850298"/>
    <w:rsid w:val="729D1A86"/>
    <w:rsid w:val="729D3834"/>
    <w:rsid w:val="72A66B8C"/>
    <w:rsid w:val="72B34E05"/>
    <w:rsid w:val="72B666A4"/>
    <w:rsid w:val="72BA6194"/>
    <w:rsid w:val="72BF19FC"/>
    <w:rsid w:val="72CA214F"/>
    <w:rsid w:val="72CB65F3"/>
    <w:rsid w:val="72DF209E"/>
    <w:rsid w:val="72E74AAF"/>
    <w:rsid w:val="72F13B80"/>
    <w:rsid w:val="73027B3B"/>
    <w:rsid w:val="73092C77"/>
    <w:rsid w:val="731A30D6"/>
    <w:rsid w:val="73223D39"/>
    <w:rsid w:val="7329331A"/>
    <w:rsid w:val="73410663"/>
    <w:rsid w:val="734B3290"/>
    <w:rsid w:val="735E7467"/>
    <w:rsid w:val="73644352"/>
    <w:rsid w:val="73651B33"/>
    <w:rsid w:val="737547B1"/>
    <w:rsid w:val="737F118B"/>
    <w:rsid w:val="73922C6D"/>
    <w:rsid w:val="73AA6208"/>
    <w:rsid w:val="73AD3F4B"/>
    <w:rsid w:val="73AF1A71"/>
    <w:rsid w:val="73B13A3B"/>
    <w:rsid w:val="73B54BAD"/>
    <w:rsid w:val="73BC5F3C"/>
    <w:rsid w:val="73BF77DA"/>
    <w:rsid w:val="73C92407"/>
    <w:rsid w:val="73CF5C6F"/>
    <w:rsid w:val="73E01C2A"/>
    <w:rsid w:val="73E20B38"/>
    <w:rsid w:val="73E831D5"/>
    <w:rsid w:val="73F27BAF"/>
    <w:rsid w:val="73F73418"/>
    <w:rsid w:val="74085625"/>
    <w:rsid w:val="740B2A1F"/>
    <w:rsid w:val="7428537F"/>
    <w:rsid w:val="742C364E"/>
    <w:rsid w:val="7431692A"/>
    <w:rsid w:val="74373814"/>
    <w:rsid w:val="74493C73"/>
    <w:rsid w:val="74512B28"/>
    <w:rsid w:val="746A3BEA"/>
    <w:rsid w:val="74836A59"/>
    <w:rsid w:val="7490294A"/>
    <w:rsid w:val="74935D79"/>
    <w:rsid w:val="74A52E74"/>
    <w:rsid w:val="74A569D0"/>
    <w:rsid w:val="74B310ED"/>
    <w:rsid w:val="74C00306"/>
    <w:rsid w:val="74C61D92"/>
    <w:rsid w:val="74D15A17"/>
    <w:rsid w:val="74DF0134"/>
    <w:rsid w:val="74E05C5A"/>
    <w:rsid w:val="74E92D60"/>
    <w:rsid w:val="74F17E67"/>
    <w:rsid w:val="75061B64"/>
    <w:rsid w:val="75091655"/>
    <w:rsid w:val="751610E2"/>
    <w:rsid w:val="751F2C26"/>
    <w:rsid w:val="751F42D8"/>
    <w:rsid w:val="754206C3"/>
    <w:rsid w:val="7572236F"/>
    <w:rsid w:val="75894543"/>
    <w:rsid w:val="758E56B6"/>
    <w:rsid w:val="75BE41ED"/>
    <w:rsid w:val="75C64E50"/>
    <w:rsid w:val="75D7705D"/>
    <w:rsid w:val="75ED062E"/>
    <w:rsid w:val="760925E8"/>
    <w:rsid w:val="761756AB"/>
    <w:rsid w:val="761B721C"/>
    <w:rsid w:val="76206C56"/>
    <w:rsid w:val="76375D4D"/>
    <w:rsid w:val="76393874"/>
    <w:rsid w:val="765468FF"/>
    <w:rsid w:val="765C7562"/>
    <w:rsid w:val="76684F0A"/>
    <w:rsid w:val="76813BAB"/>
    <w:rsid w:val="76911902"/>
    <w:rsid w:val="769B62DC"/>
    <w:rsid w:val="76A2766B"/>
    <w:rsid w:val="76B93FE2"/>
    <w:rsid w:val="76B949B4"/>
    <w:rsid w:val="76D32947"/>
    <w:rsid w:val="76D812DE"/>
    <w:rsid w:val="76D8308D"/>
    <w:rsid w:val="76E557A9"/>
    <w:rsid w:val="76EC08E6"/>
    <w:rsid w:val="770E2F52"/>
    <w:rsid w:val="7713761C"/>
    <w:rsid w:val="771B11CB"/>
    <w:rsid w:val="771C566F"/>
    <w:rsid w:val="772B7660"/>
    <w:rsid w:val="77302EC9"/>
    <w:rsid w:val="774921DC"/>
    <w:rsid w:val="77505500"/>
    <w:rsid w:val="77674410"/>
    <w:rsid w:val="7769462C"/>
    <w:rsid w:val="776D5ECB"/>
    <w:rsid w:val="776E579F"/>
    <w:rsid w:val="7772528F"/>
    <w:rsid w:val="77876861"/>
    <w:rsid w:val="7789082B"/>
    <w:rsid w:val="778D20C9"/>
    <w:rsid w:val="779F3BAA"/>
    <w:rsid w:val="77A25449"/>
    <w:rsid w:val="77A318EC"/>
    <w:rsid w:val="77A45665"/>
    <w:rsid w:val="77B238DE"/>
    <w:rsid w:val="77B47B09"/>
    <w:rsid w:val="77BC29AE"/>
    <w:rsid w:val="77F42148"/>
    <w:rsid w:val="77F51A1C"/>
    <w:rsid w:val="78324A1E"/>
    <w:rsid w:val="783562BD"/>
    <w:rsid w:val="7859644F"/>
    <w:rsid w:val="785C7CED"/>
    <w:rsid w:val="78880AE2"/>
    <w:rsid w:val="789418E6"/>
    <w:rsid w:val="789E20B4"/>
    <w:rsid w:val="78C25DA2"/>
    <w:rsid w:val="78C55892"/>
    <w:rsid w:val="78C7785D"/>
    <w:rsid w:val="78D36201"/>
    <w:rsid w:val="78D41F79"/>
    <w:rsid w:val="78DB550B"/>
    <w:rsid w:val="78DD0E2E"/>
    <w:rsid w:val="78E24696"/>
    <w:rsid w:val="78E71CAD"/>
    <w:rsid w:val="78E75809"/>
    <w:rsid w:val="78FB7506"/>
    <w:rsid w:val="78FC1D37"/>
    <w:rsid w:val="79112886"/>
    <w:rsid w:val="79200D1B"/>
    <w:rsid w:val="79442C5B"/>
    <w:rsid w:val="79515378"/>
    <w:rsid w:val="79570BE0"/>
    <w:rsid w:val="795F5CE7"/>
    <w:rsid w:val="796055BB"/>
    <w:rsid w:val="796706F8"/>
    <w:rsid w:val="79674B9C"/>
    <w:rsid w:val="7967694A"/>
    <w:rsid w:val="797509D8"/>
    <w:rsid w:val="79815C5D"/>
    <w:rsid w:val="7990480E"/>
    <w:rsid w:val="799A287B"/>
    <w:rsid w:val="79A951B4"/>
    <w:rsid w:val="79B0209F"/>
    <w:rsid w:val="79D35D8D"/>
    <w:rsid w:val="79DF4732"/>
    <w:rsid w:val="79E104AA"/>
    <w:rsid w:val="7A170370"/>
    <w:rsid w:val="7A1E525A"/>
    <w:rsid w:val="7A3C1B84"/>
    <w:rsid w:val="7A480529"/>
    <w:rsid w:val="7A5A025C"/>
    <w:rsid w:val="7A6335B5"/>
    <w:rsid w:val="7A7C01D3"/>
    <w:rsid w:val="7A7C6425"/>
    <w:rsid w:val="7A85177D"/>
    <w:rsid w:val="7A886B78"/>
    <w:rsid w:val="7A8A7461"/>
    <w:rsid w:val="7A9279F6"/>
    <w:rsid w:val="7A9C0875"/>
    <w:rsid w:val="7AC80778"/>
    <w:rsid w:val="7AC8166A"/>
    <w:rsid w:val="7ACD0A2E"/>
    <w:rsid w:val="7AD86450"/>
    <w:rsid w:val="7AEF6BF7"/>
    <w:rsid w:val="7AFE6E3A"/>
    <w:rsid w:val="7B220D7A"/>
    <w:rsid w:val="7B257DAB"/>
    <w:rsid w:val="7B2A40D3"/>
    <w:rsid w:val="7B3F192C"/>
    <w:rsid w:val="7B520FD5"/>
    <w:rsid w:val="7B537186"/>
    <w:rsid w:val="7B551150"/>
    <w:rsid w:val="7B5F1FCE"/>
    <w:rsid w:val="7B615D46"/>
    <w:rsid w:val="7B735A7A"/>
    <w:rsid w:val="7B7470FC"/>
    <w:rsid w:val="7B876E2F"/>
    <w:rsid w:val="7B9D6653"/>
    <w:rsid w:val="7BAE260E"/>
    <w:rsid w:val="7BB35E76"/>
    <w:rsid w:val="7BC938EC"/>
    <w:rsid w:val="7BD302C6"/>
    <w:rsid w:val="7BE129E3"/>
    <w:rsid w:val="7C091F3A"/>
    <w:rsid w:val="7C0B180E"/>
    <w:rsid w:val="7C142DB9"/>
    <w:rsid w:val="7C1A7CA3"/>
    <w:rsid w:val="7C1F350C"/>
    <w:rsid w:val="7C2E374F"/>
    <w:rsid w:val="7C350F81"/>
    <w:rsid w:val="7C3F770A"/>
    <w:rsid w:val="7C444D20"/>
    <w:rsid w:val="7C4B2553"/>
    <w:rsid w:val="7C4D0079"/>
    <w:rsid w:val="7C4D1E27"/>
    <w:rsid w:val="7C5533D1"/>
    <w:rsid w:val="7C555EFF"/>
    <w:rsid w:val="7C647A33"/>
    <w:rsid w:val="7C6F4493"/>
    <w:rsid w:val="7C865339"/>
    <w:rsid w:val="7C9C690A"/>
    <w:rsid w:val="7C9E2682"/>
    <w:rsid w:val="7CA0289E"/>
    <w:rsid w:val="7CA0464C"/>
    <w:rsid w:val="7CC27A6B"/>
    <w:rsid w:val="7CCF4F32"/>
    <w:rsid w:val="7CE02C9B"/>
    <w:rsid w:val="7CE34539"/>
    <w:rsid w:val="7D0D15B6"/>
    <w:rsid w:val="7D4A0A5C"/>
    <w:rsid w:val="7D515947"/>
    <w:rsid w:val="7D7B29C4"/>
    <w:rsid w:val="7D80447E"/>
    <w:rsid w:val="7D853842"/>
    <w:rsid w:val="7D9615AC"/>
    <w:rsid w:val="7D99109C"/>
    <w:rsid w:val="7D9D293A"/>
    <w:rsid w:val="7DA55C93"/>
    <w:rsid w:val="7DAB14FB"/>
    <w:rsid w:val="7DDA1DE0"/>
    <w:rsid w:val="7DE06CCB"/>
    <w:rsid w:val="7DE1316F"/>
    <w:rsid w:val="7DF32EA2"/>
    <w:rsid w:val="7DFA7833"/>
    <w:rsid w:val="7DFD787D"/>
    <w:rsid w:val="7DFF53A3"/>
    <w:rsid w:val="7E350DC4"/>
    <w:rsid w:val="7E394D59"/>
    <w:rsid w:val="7E4234E1"/>
    <w:rsid w:val="7E462FD2"/>
    <w:rsid w:val="7E4B3379"/>
    <w:rsid w:val="7E4B4A8C"/>
    <w:rsid w:val="7E543940"/>
    <w:rsid w:val="7E851D4C"/>
    <w:rsid w:val="7EA06B86"/>
    <w:rsid w:val="7EAA3560"/>
    <w:rsid w:val="7EB0669D"/>
    <w:rsid w:val="7EB22415"/>
    <w:rsid w:val="7ECA3C03"/>
    <w:rsid w:val="7ED06D3F"/>
    <w:rsid w:val="7EEA6053"/>
    <w:rsid w:val="7EED169F"/>
    <w:rsid w:val="7EEF18BB"/>
    <w:rsid w:val="7F052E8D"/>
    <w:rsid w:val="7F1629A4"/>
    <w:rsid w:val="7F1E7AAB"/>
    <w:rsid w:val="7F280929"/>
    <w:rsid w:val="7F2826D7"/>
    <w:rsid w:val="7F3F054A"/>
    <w:rsid w:val="7F4101B1"/>
    <w:rsid w:val="7F427C3D"/>
    <w:rsid w:val="7F4734A5"/>
    <w:rsid w:val="7F567244"/>
    <w:rsid w:val="7F5931D8"/>
    <w:rsid w:val="7F5E434B"/>
    <w:rsid w:val="7F651B7D"/>
    <w:rsid w:val="7F741DC0"/>
    <w:rsid w:val="7F947D6D"/>
    <w:rsid w:val="7F9C0D7A"/>
    <w:rsid w:val="7FA501CC"/>
    <w:rsid w:val="7FAC3308"/>
    <w:rsid w:val="7FB4040F"/>
    <w:rsid w:val="7FCE14D1"/>
    <w:rsid w:val="7FD90CF2"/>
    <w:rsid w:val="7FE231CE"/>
    <w:rsid w:val="7FE5681A"/>
    <w:rsid w:val="7FF52F01"/>
    <w:rsid w:val="7FF60A27"/>
    <w:rsid w:val="7FF8654D"/>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line="360" w:lineRule="auto"/>
      <w:jc w:val="center"/>
      <w:outlineLvl w:val="0"/>
    </w:pPr>
    <w:rPr>
      <w:rFonts w:eastAsia="微软雅黑"/>
      <w:b/>
      <w:bCs/>
      <w:kern w:val="44"/>
      <w:sz w:val="32"/>
      <w:szCs w:val="44"/>
    </w:rPr>
  </w:style>
  <w:style w:type="paragraph" w:styleId="3">
    <w:name w:val="heading 2"/>
    <w:basedOn w:val="1"/>
    <w:next w:val="1"/>
    <w:link w:val="16"/>
    <w:unhideWhenUsed/>
    <w:qFormat/>
    <w:uiPriority w:val="9"/>
    <w:pPr>
      <w:keepNext/>
      <w:keepLines/>
      <w:spacing w:line="360" w:lineRule="auto"/>
      <w:jc w:val="center"/>
      <w:outlineLvl w:val="1"/>
    </w:pPr>
    <w:rPr>
      <w:rFonts w:eastAsia="微软雅黑" w:asciiTheme="majorHAnsi" w:hAnsiTheme="majorHAnsi" w:cstheme="majorBidi"/>
      <w:b/>
      <w:bCs/>
      <w:sz w:val="30"/>
      <w:szCs w:val="32"/>
    </w:rPr>
  </w:style>
  <w:style w:type="paragraph" w:styleId="4">
    <w:name w:val="heading 4"/>
    <w:basedOn w:val="1"/>
    <w:next w:val="1"/>
    <w:unhideWhenUsed/>
    <w:qFormat/>
    <w:uiPriority w:val="0"/>
    <w:pPr>
      <w:keepNext/>
      <w:keepLines/>
      <w:spacing w:beforeLines="0" w:beforeAutospacing="0" w:afterLines="0" w:afterAutospacing="0" w:line="360" w:lineRule="auto"/>
      <w:outlineLvl w:val="3"/>
    </w:pPr>
    <w:rPr>
      <w:rFonts w:ascii="Arial" w:hAnsi="Arial" w:eastAsia="宋体"/>
      <w:b/>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9"/>
    <w:unhideWhenUsed/>
    <w:qFormat/>
    <w:uiPriority w:val="99"/>
    <w:pPr>
      <w:tabs>
        <w:tab w:val="center" w:pos="4153"/>
        <w:tab w:val="right" w:pos="8306"/>
      </w:tabs>
      <w:snapToGrid w:val="0"/>
      <w:jc w:val="left"/>
    </w:pPr>
    <w:rPr>
      <w:sz w:val="18"/>
      <w:szCs w:val="18"/>
    </w:rPr>
  </w:style>
  <w:style w:type="paragraph" w:styleId="6">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tabs>
        <w:tab w:val="right" w:leader="dot" w:pos="10456"/>
      </w:tabs>
    </w:pPr>
    <w:rPr>
      <w:rFonts w:ascii="微软雅黑" w:hAnsi="微软雅黑" w:eastAsia="微软雅黑"/>
      <w:b/>
      <w:bCs/>
      <w:sz w:val="24"/>
      <w:szCs w:val="28"/>
    </w:rPr>
  </w:style>
  <w:style w:type="paragraph" w:styleId="8">
    <w:name w:val="toc 2"/>
    <w:basedOn w:val="1"/>
    <w:next w:val="1"/>
    <w:unhideWhenUsed/>
    <w:qFormat/>
    <w:uiPriority w:val="39"/>
    <w:pPr>
      <w:ind w:left="420" w:leftChars="200"/>
    </w:p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paragraph" w:customStyle="1" w:styleId="13">
    <w:name w:val="表格"/>
    <w:basedOn w:val="14"/>
    <w:qFormat/>
    <w:uiPriority w:val="0"/>
    <w:pPr>
      <w:ind w:firstLine="0" w:firstLineChars="0"/>
      <w:jc w:val="left"/>
    </w:pPr>
    <w:rPr>
      <w:rFonts w:asciiTheme="minorAscii" w:hAnsiTheme="minorAscii"/>
    </w:rPr>
  </w:style>
  <w:style w:type="paragraph" w:customStyle="1" w:styleId="14">
    <w:name w:val="[无段落样式]"/>
    <w:unhideWhenUsed/>
    <w:qFormat/>
    <w:uiPriority w:val="99"/>
    <w:pPr>
      <w:widowControl w:val="0"/>
      <w:autoSpaceDE w:val="0"/>
      <w:autoSpaceDN w:val="0"/>
      <w:adjustRightInd w:val="0"/>
      <w:spacing w:line="288" w:lineRule="auto"/>
      <w:jc w:val="both"/>
      <w:textAlignment w:val="center"/>
    </w:pPr>
    <w:rPr>
      <w:rFonts w:hint="eastAsia" w:ascii="宋体" w:hAnsi="宋体" w:eastAsia="宋体" w:cstheme="minorBidi"/>
      <w:color w:val="000000"/>
      <w:sz w:val="24"/>
      <w:szCs w:val="24"/>
      <w:lang w:val="zh-CN" w:eastAsia="zh-CN" w:bidi="ar-SA"/>
    </w:rPr>
  </w:style>
  <w:style w:type="character" w:customStyle="1" w:styleId="15">
    <w:name w:val="标题 1 字符"/>
    <w:basedOn w:val="11"/>
    <w:link w:val="2"/>
    <w:qFormat/>
    <w:uiPriority w:val="9"/>
    <w:rPr>
      <w:rFonts w:eastAsia="微软雅黑"/>
      <w:b/>
      <w:bCs/>
      <w:kern w:val="44"/>
      <w:sz w:val="32"/>
      <w:szCs w:val="44"/>
    </w:rPr>
  </w:style>
  <w:style w:type="character" w:customStyle="1" w:styleId="16">
    <w:name w:val="标题 2 字符"/>
    <w:basedOn w:val="11"/>
    <w:link w:val="3"/>
    <w:qFormat/>
    <w:uiPriority w:val="9"/>
    <w:rPr>
      <w:rFonts w:eastAsia="微软雅黑" w:asciiTheme="majorHAnsi" w:hAnsiTheme="majorHAnsi" w:cstheme="majorBidi"/>
      <w:b/>
      <w:bCs/>
      <w:sz w:val="30"/>
      <w:szCs w:val="32"/>
    </w:rPr>
  </w:style>
  <w:style w:type="paragraph" w:customStyle="1" w:styleId="17">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18">
    <w:name w:val="页眉 字符"/>
    <w:basedOn w:val="11"/>
    <w:link w:val="6"/>
    <w:qFormat/>
    <w:uiPriority w:val="99"/>
    <w:rPr>
      <w:sz w:val="18"/>
      <w:szCs w:val="18"/>
    </w:rPr>
  </w:style>
  <w:style w:type="character" w:customStyle="1" w:styleId="19">
    <w:name w:val="页脚 字符"/>
    <w:basedOn w:val="11"/>
    <w:link w:val="5"/>
    <w:qFormat/>
    <w:uiPriority w:val="99"/>
    <w:rPr>
      <w:sz w:val="18"/>
      <w:szCs w:val="18"/>
    </w:rPr>
  </w:style>
  <w:style w:type="paragraph" w:customStyle="1" w:styleId="20">
    <w:name w:val="Table Text"/>
    <w:basedOn w:val="1"/>
    <w:semiHidden/>
    <w:qFormat/>
    <w:uiPriority w:val="0"/>
    <w:rPr>
      <w:rFonts w:ascii="宋体" w:hAnsi="宋体" w:eastAsia="宋体" w:cs="宋体"/>
      <w:sz w:val="21"/>
      <w:szCs w:val="21"/>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任务标题"/>
    <w:unhideWhenUsed/>
    <w:qFormat/>
    <w:uiPriority w:val="99"/>
    <w:pPr>
      <w:jc w:val="center"/>
    </w:pPr>
    <w:rPr>
      <w:rFonts w:hint="eastAsia" w:ascii="ATC-59279ed1*+" w:hAnsi="ATC-59279ed1*+" w:eastAsia="华文行楷" w:cstheme="minorBidi"/>
      <w:color w:val="000000" w:themeColor="text1"/>
      <w:sz w:val="50"/>
      <w:szCs w:val="24"/>
      <w:lang w:val="en-US" w:eastAsia="zh-CN" w:bidi="ar-SA"/>
      <w14:textFill>
        <w14:solidFill>
          <w14:schemeClr w14:val="tx1"/>
        </w14:solidFill>
      </w14:textFill>
    </w:rPr>
  </w:style>
  <w:style w:type="paragraph" w:customStyle="1" w:styleId="23">
    <w:name w:val="学习目标"/>
    <w:basedOn w:val="14"/>
    <w:unhideWhenUsed/>
    <w:qFormat/>
    <w:uiPriority w:val="99"/>
    <w:pPr>
      <w:spacing w:line="360" w:lineRule="atLeast"/>
      <w:ind w:firstLine="340"/>
      <w:jc w:val="left"/>
    </w:pPr>
    <w:rPr>
      <w:rFonts w:ascii="ATC-51c65706*+" w:hAnsi="ATC-51c65706*+" w:eastAsia="ATC-51c65706*+"/>
      <w:spacing w:val="2"/>
      <w:sz w:val="21"/>
    </w:rPr>
  </w:style>
  <w:style w:type="paragraph" w:customStyle="1" w:styleId="24">
    <w:name w:val="表格1"/>
    <w:basedOn w:val="13"/>
    <w:unhideWhenUsed/>
    <w:qFormat/>
    <w:uiPriority w:val="99"/>
    <w:rPr>
      <w:rFonts w:ascii="ATC-4e2d7b497ebf*+" w:hAnsi="ATC-4e2d7b497ebf*+" w:eastAsia="ATC-4e2d7b497ebf*+"/>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E02F6-3A1C-43DE-A3A6-85BD37206759}">
  <ds:schemaRefs/>
</ds:datastoreItem>
</file>

<file path=docProps/app.xml><?xml version="1.0" encoding="utf-8"?>
<Properties xmlns="http://schemas.openxmlformats.org/officeDocument/2006/extended-properties" xmlns:vt="http://schemas.openxmlformats.org/officeDocument/2006/docPropsVTypes">
  <Template>Normal</Template>
  <Pages>18</Pages>
  <Words>4292</Words>
  <Characters>4499</Characters>
  <Lines>395</Lines>
  <Paragraphs>111</Paragraphs>
  <TotalTime>9</TotalTime>
  <ScaleCrop>false</ScaleCrop>
  <LinksUpToDate>false</LinksUpToDate>
  <CharactersWithSpaces>4520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2022-04-06T01:32:00Z</dcterms:created>
  <dc:creator>49236</dc:creator>
  <cp:lastModifiedBy>狼的传说</cp:lastModifiedBy>
  <cp:lastPrinted>2022-04-13T02:41:00Z</cp:lastPrinted>
  <dcterms:modified xsi:type="dcterms:W3CDTF">2025-04-08T07:34:14Z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3DE41615F06A427E8E1D434B9DB02D35</vt:lpwstr>
  </property>
  <property fmtid="{D5CDD505-2E9C-101B-9397-08002B2CF9AE}" pid="4" name="KSOTemplateDocerSaveRecord">
    <vt:lpwstr>eyJoZGlkIjoiNjE3YjQyNThiNzg3ZDNjNjZhNjY2NTVlZmRmYTBiMDQiLCJ1c2VySWQiOiIyMzQxNTU1MTIifQ==</vt:lpwstr>
  </property>
</Properties>
</file>