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6950E5">
      <w:pPr>
        <w:pStyle w:val="2"/>
        <w:bidi w:val="0"/>
        <w:rPr>
          <w:rFonts w:hint="default"/>
          <w:lang w:val="en-US"/>
        </w:rPr>
      </w:pPr>
      <w:r>
        <w:rPr>
          <w:rFonts w:hint="eastAsia"/>
        </w:rPr>
        <w:t>项目一</w:t>
      </w:r>
      <w:r>
        <w:rPr>
          <w:rFonts w:hint="eastAsia"/>
          <w:lang w:val="en-US" w:eastAsia="zh-CN"/>
        </w:rPr>
        <w:t xml:space="preserve"> 高压电池包的检修</w:t>
      </w:r>
    </w:p>
    <w:p w14:paraId="6572BD17">
      <w:pPr>
        <w:pStyle w:val="3"/>
        <w:bidi w:val="0"/>
        <w:jc w:val="center"/>
        <w:rPr>
          <w:rFonts w:hint="eastAsia" w:eastAsia="微软雅黑"/>
          <w:spacing w:val="2"/>
          <w:lang w:val="en-US" w:eastAsia="zh-CN"/>
        </w:rPr>
      </w:pPr>
      <w:bookmarkStart w:id="0" w:name="_Toc13780"/>
      <w:r>
        <w:rPr>
          <w:rFonts w:hint="eastAsia"/>
        </w:rPr>
        <w:t>任务</w:t>
      </w:r>
      <w:r>
        <w:rPr>
          <w:rFonts w:hint="eastAsia"/>
          <w:lang w:val="en-US" w:eastAsia="zh-CN"/>
        </w:rPr>
        <w:t>一</w:t>
      </w:r>
      <w:r>
        <w:rPr>
          <w:rFonts w:hint="eastAsia"/>
        </w:rPr>
        <w:t xml:space="preserve"> </w:t>
      </w:r>
      <w:r>
        <w:rPr>
          <w:rFonts w:hint="eastAsia" w:ascii="微软雅黑" w:hAnsi="微软雅黑" w:eastAsia="微软雅黑" w:cs="微软雅黑"/>
          <w:color w:val="000000" w:themeColor="text1"/>
          <w:sz w:val="30"/>
          <w:szCs w:val="30"/>
          <w:lang w:val="en-US" w:eastAsia="zh-CN"/>
          <w14:textFill>
            <w14:solidFill>
              <w14:schemeClr w14:val="tx1"/>
            </w14:solidFill>
          </w14:textFill>
        </w:rPr>
        <w:t>高压电池组的</w:t>
      </w:r>
      <w:r>
        <w:rPr>
          <w:rFonts w:hint="eastAsia" w:ascii="微软雅黑" w:hAnsi="微软雅黑" w:eastAsia="微软雅黑" w:cs="微软雅黑"/>
          <w:spacing w:val="2"/>
          <w:sz w:val="30"/>
          <w:szCs w:val="30"/>
          <w:lang w:val="en-US" w:eastAsia="zh-CN"/>
        </w:rPr>
        <w:t>的检修</w:t>
      </w:r>
    </w:p>
    <w:tbl>
      <w:tblPr>
        <w:tblStyle w:val="9"/>
        <w:tblW w:w="500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27"/>
        <w:gridCol w:w="1505"/>
        <w:gridCol w:w="1397"/>
        <w:gridCol w:w="1255"/>
        <w:gridCol w:w="378"/>
        <w:gridCol w:w="2866"/>
      </w:tblGrid>
      <w:tr w14:paraId="7FB03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60" w:type="pct"/>
            <w:shd w:val="clear" w:color="auto" w:fill="auto"/>
            <w:vAlign w:val="center"/>
          </w:tcPr>
          <w:p w14:paraId="6B3060A4">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bookmarkStart w:id="1" w:name="_Hlk108699371"/>
            <w:r>
              <w:rPr>
                <w:rFonts w:hint="eastAsia" w:ascii="宋体" w:hAnsi="宋体" w:eastAsia="宋体" w:cs="宋体"/>
                <w:color w:val="000000" w:themeColor="text1"/>
                <w:sz w:val="21"/>
                <w:szCs w:val="21"/>
                <w14:textFill>
                  <w14:solidFill>
                    <w14:schemeClr w14:val="tx1"/>
                  </w14:solidFill>
                </w14:textFill>
              </w:rPr>
              <w:t>授课课程</w:t>
            </w:r>
          </w:p>
        </w:tc>
        <w:tc>
          <w:tcPr>
            <w:tcW w:w="1701" w:type="pct"/>
            <w:gridSpan w:val="2"/>
            <w:shd w:val="clear" w:color="auto" w:fill="auto"/>
            <w:vAlign w:val="center"/>
          </w:tcPr>
          <w:p w14:paraId="6771F19D">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新能源汽车动力电池及管理系统检修</w:t>
            </w:r>
          </w:p>
        </w:tc>
        <w:tc>
          <w:tcPr>
            <w:tcW w:w="735" w:type="pct"/>
            <w:shd w:val="clear" w:color="auto" w:fill="auto"/>
            <w:vAlign w:val="center"/>
          </w:tcPr>
          <w:p w14:paraId="1EC0C5F5">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建议</w:t>
            </w:r>
            <w:r>
              <w:rPr>
                <w:rFonts w:hint="eastAsia" w:ascii="宋体" w:hAnsi="宋体" w:eastAsia="宋体" w:cs="宋体"/>
                <w:color w:val="000000" w:themeColor="text1"/>
                <w:sz w:val="21"/>
                <w:szCs w:val="21"/>
                <w14:textFill>
                  <w14:solidFill>
                    <w14:schemeClr w14:val="tx1"/>
                  </w14:solidFill>
                </w14:textFill>
              </w:rPr>
              <w:t>课时</w:t>
            </w:r>
          </w:p>
        </w:tc>
        <w:tc>
          <w:tcPr>
            <w:tcW w:w="1901" w:type="pct"/>
            <w:gridSpan w:val="2"/>
            <w:shd w:val="clear" w:color="auto" w:fill="auto"/>
            <w:vAlign w:val="center"/>
          </w:tcPr>
          <w:p w14:paraId="04AE5037">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8</w:t>
            </w:r>
            <w:r>
              <w:rPr>
                <w:rFonts w:hint="eastAsia" w:ascii="宋体" w:hAnsi="宋体" w:eastAsia="宋体" w:cs="宋体"/>
                <w:color w:val="000000" w:themeColor="text1"/>
                <w:sz w:val="21"/>
                <w:szCs w:val="21"/>
                <w14:textFill>
                  <w14:solidFill>
                    <w14:schemeClr w14:val="tx1"/>
                  </w14:solidFill>
                </w14:textFill>
              </w:rPr>
              <w:t>课时</w:t>
            </w:r>
          </w:p>
        </w:tc>
      </w:tr>
      <w:tr w14:paraId="4800B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0" w:type="pct"/>
            <w:shd w:val="clear" w:color="auto" w:fill="auto"/>
            <w:vAlign w:val="center"/>
          </w:tcPr>
          <w:p w14:paraId="71C95AAA">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授课内容</w:t>
            </w:r>
          </w:p>
        </w:tc>
        <w:tc>
          <w:tcPr>
            <w:tcW w:w="1701" w:type="pct"/>
            <w:gridSpan w:val="2"/>
            <w:shd w:val="clear" w:color="auto" w:fill="auto"/>
            <w:vAlign w:val="center"/>
          </w:tcPr>
          <w:p w14:paraId="13E194DC">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任务一</w:t>
            </w:r>
            <w:r>
              <w:rPr>
                <w:rFonts w:hint="eastAsia" w:ascii="宋体" w:hAnsi="宋体" w:eastAsia="宋体" w:cs="宋体"/>
                <w:color w:val="000000" w:themeColor="text1"/>
                <w:sz w:val="21"/>
                <w:szCs w:val="21"/>
                <w:lang w:val="en-US" w:eastAsia="zh-CN"/>
                <w14:textFill>
                  <w14:solidFill>
                    <w14:schemeClr w14:val="tx1"/>
                  </w14:solidFill>
                </w14:textFill>
              </w:rPr>
              <w:t xml:space="preserve"> 高压电池组的检修</w:t>
            </w:r>
          </w:p>
        </w:tc>
        <w:tc>
          <w:tcPr>
            <w:tcW w:w="735" w:type="pct"/>
            <w:shd w:val="clear" w:color="auto" w:fill="auto"/>
            <w:vAlign w:val="center"/>
          </w:tcPr>
          <w:p w14:paraId="7A79390D">
            <w:pPr>
              <w:bidi w:val="0"/>
              <w:spacing w:line="360" w:lineRule="auto"/>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w:t>
            </w:r>
            <w:r>
              <w:rPr>
                <w:rFonts w:hint="eastAsia" w:ascii="宋体" w:hAnsi="宋体" w:eastAsia="宋体" w:cs="宋体"/>
                <w:color w:val="000000" w:themeColor="text1"/>
                <w:sz w:val="21"/>
                <w:szCs w:val="21"/>
                <w:lang w:val="en-US" w:eastAsia="zh-CN"/>
                <w14:textFill>
                  <w14:solidFill>
                    <w14:schemeClr w14:val="tx1"/>
                  </w14:solidFill>
                </w14:textFill>
              </w:rPr>
              <w:t>对象</w:t>
            </w:r>
          </w:p>
        </w:tc>
        <w:tc>
          <w:tcPr>
            <w:tcW w:w="1901" w:type="pct"/>
            <w:gridSpan w:val="2"/>
            <w:shd w:val="clear" w:color="auto" w:fill="auto"/>
            <w:vAlign w:val="center"/>
          </w:tcPr>
          <w:p w14:paraId="75DAA71D">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新能源汽车</w:t>
            </w:r>
            <w:r>
              <w:rPr>
                <w:rFonts w:hint="eastAsia" w:ascii="宋体" w:hAnsi="宋体" w:eastAsia="宋体" w:cs="宋体"/>
                <w:sz w:val="21"/>
                <w:szCs w:val="21"/>
                <w:lang w:val="en-US" w:eastAsia="zh-CN"/>
              </w:rPr>
              <w:t>运用与维修</w:t>
            </w:r>
            <w:r>
              <w:rPr>
                <w:rFonts w:hint="eastAsia" w:ascii="宋体" w:hAnsi="宋体" w:eastAsia="宋体" w:cs="宋体"/>
                <w:color w:val="000000" w:themeColor="text1"/>
                <w:sz w:val="21"/>
                <w:szCs w:val="21"/>
                <w:lang w:val="en-US" w:eastAsia="zh-CN"/>
                <w14:textFill>
                  <w14:solidFill>
                    <w14:schemeClr w14:val="tx1"/>
                  </w14:solidFill>
                </w14:textFill>
              </w:rPr>
              <w:t>班级</w:t>
            </w:r>
          </w:p>
        </w:tc>
      </w:tr>
      <w:tr w14:paraId="36D63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0" w:type="pct"/>
            <w:shd w:val="clear" w:color="auto" w:fill="auto"/>
            <w:vAlign w:val="center"/>
          </w:tcPr>
          <w:p w14:paraId="20D7BD28">
            <w:pPr>
              <w:bidi w:val="0"/>
              <w:spacing w:line="360" w:lineRule="auto"/>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w:t>
            </w:r>
            <w:r>
              <w:rPr>
                <w:rFonts w:hint="eastAsia" w:ascii="宋体" w:hAnsi="宋体" w:eastAsia="宋体" w:cs="宋体"/>
                <w:color w:val="000000" w:themeColor="text1"/>
                <w:sz w:val="21"/>
                <w:szCs w:val="21"/>
                <w:lang w:val="en-US" w:eastAsia="zh-CN"/>
                <w14:textFill>
                  <w14:solidFill>
                    <w14:schemeClr w14:val="tx1"/>
                  </w14:solidFill>
                </w14:textFill>
              </w:rPr>
              <w:t>专业</w:t>
            </w:r>
          </w:p>
        </w:tc>
        <w:tc>
          <w:tcPr>
            <w:tcW w:w="1701" w:type="pct"/>
            <w:gridSpan w:val="2"/>
            <w:shd w:val="clear" w:color="auto" w:fill="auto"/>
            <w:vAlign w:val="center"/>
          </w:tcPr>
          <w:p w14:paraId="0140F799">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sz w:val="21"/>
                <w:szCs w:val="21"/>
              </w:rPr>
              <w:t>新能源汽车</w:t>
            </w:r>
            <w:r>
              <w:rPr>
                <w:rFonts w:hint="eastAsia" w:ascii="宋体" w:hAnsi="宋体" w:eastAsia="宋体" w:cs="宋体"/>
                <w:sz w:val="21"/>
                <w:szCs w:val="21"/>
                <w:lang w:val="en-US" w:eastAsia="zh-CN"/>
              </w:rPr>
              <w:t>运用与维修</w:t>
            </w:r>
            <w:r>
              <w:rPr>
                <w:rFonts w:hint="eastAsia" w:ascii="宋体" w:hAnsi="宋体" w:eastAsia="宋体" w:cs="宋体"/>
                <w:color w:val="000000" w:themeColor="text1"/>
                <w:sz w:val="21"/>
                <w:szCs w:val="21"/>
                <w14:textFill>
                  <w14:solidFill>
                    <w14:schemeClr w14:val="tx1"/>
                  </w14:solidFill>
                </w14:textFill>
              </w:rPr>
              <w:t>专业</w:t>
            </w:r>
          </w:p>
        </w:tc>
        <w:tc>
          <w:tcPr>
            <w:tcW w:w="735" w:type="pct"/>
            <w:shd w:val="clear" w:color="auto" w:fill="auto"/>
            <w:vAlign w:val="center"/>
          </w:tcPr>
          <w:p w14:paraId="1E18FDA2">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授课地点</w:t>
            </w:r>
          </w:p>
        </w:tc>
        <w:tc>
          <w:tcPr>
            <w:tcW w:w="1901" w:type="pct"/>
            <w:gridSpan w:val="2"/>
            <w:shd w:val="clear" w:color="auto" w:fill="auto"/>
            <w:vAlign w:val="center"/>
          </w:tcPr>
          <w:p w14:paraId="1B69A3E9">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p>
        </w:tc>
      </w:tr>
      <w:tr w14:paraId="15974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0" w:type="pct"/>
            <w:shd w:val="clear" w:color="auto" w:fill="auto"/>
            <w:vAlign w:val="center"/>
          </w:tcPr>
          <w:p w14:paraId="07AD0273">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选用教材</w:t>
            </w:r>
          </w:p>
        </w:tc>
        <w:tc>
          <w:tcPr>
            <w:tcW w:w="4339" w:type="pct"/>
            <w:gridSpan w:val="5"/>
            <w:shd w:val="clear" w:color="auto" w:fill="auto"/>
            <w:vAlign w:val="center"/>
          </w:tcPr>
          <w:p w14:paraId="57134256">
            <w:pPr>
              <w:bidi w:val="0"/>
              <w:spacing w:line="360" w:lineRule="auto"/>
              <w:rPr>
                <w:rFonts w:hint="eastAsia" w:ascii="宋体" w:hAnsi="宋体" w:eastAsia="宋体" w:cs="宋体"/>
                <w:color w:val="000000" w:themeColor="text1"/>
                <w:sz w:val="21"/>
                <w:szCs w:val="21"/>
                <w14:textFill>
                  <w14:solidFill>
                    <w14:schemeClr w14:val="tx1"/>
                  </w14:solidFill>
                </w14:textFill>
              </w:rPr>
            </w:pPr>
          </w:p>
        </w:tc>
      </w:tr>
      <w:bookmarkEnd w:id="1"/>
      <w:tr w14:paraId="6915E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5000" w:type="pct"/>
            <w:gridSpan w:val="6"/>
            <w:shd w:val="clear" w:color="auto" w:fill="auto"/>
            <w:vAlign w:val="center"/>
          </w:tcPr>
          <w:p w14:paraId="4E97B290">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教学目标</w:t>
            </w:r>
          </w:p>
        </w:tc>
      </w:tr>
      <w:tr w14:paraId="15DEF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543" w:type="pct"/>
            <w:gridSpan w:val="2"/>
            <w:shd w:val="clear" w:color="auto" w:fill="auto"/>
            <w:vAlign w:val="center"/>
          </w:tcPr>
          <w:p w14:paraId="2C743911">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知识</w:t>
            </w:r>
            <w:r>
              <w:rPr>
                <w:rFonts w:hint="eastAsia" w:ascii="宋体" w:hAnsi="宋体" w:eastAsia="宋体" w:cs="宋体"/>
                <w:color w:val="000000" w:themeColor="text1"/>
                <w:sz w:val="21"/>
                <w:szCs w:val="21"/>
                <w14:textFill>
                  <w14:solidFill>
                    <w14:schemeClr w14:val="tx1"/>
                  </w14:solidFill>
                </w14:textFill>
              </w:rPr>
              <w:t>目标</w:t>
            </w:r>
          </w:p>
        </w:tc>
        <w:tc>
          <w:tcPr>
            <w:tcW w:w="1776" w:type="pct"/>
            <w:gridSpan w:val="3"/>
            <w:shd w:val="clear" w:color="auto" w:fill="auto"/>
            <w:vAlign w:val="center"/>
          </w:tcPr>
          <w:p w14:paraId="270F5492">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能力</w:t>
            </w:r>
            <w:r>
              <w:rPr>
                <w:rFonts w:hint="eastAsia" w:ascii="宋体" w:hAnsi="宋体" w:eastAsia="宋体" w:cs="宋体"/>
                <w:color w:val="000000" w:themeColor="text1"/>
                <w:sz w:val="21"/>
                <w:szCs w:val="21"/>
                <w14:textFill>
                  <w14:solidFill>
                    <w14:schemeClr w14:val="tx1"/>
                  </w14:solidFill>
                </w14:textFill>
              </w:rPr>
              <w:t>目标</w:t>
            </w:r>
          </w:p>
        </w:tc>
        <w:tc>
          <w:tcPr>
            <w:tcW w:w="1680" w:type="pct"/>
            <w:shd w:val="clear" w:color="auto" w:fill="auto"/>
            <w:vAlign w:val="center"/>
          </w:tcPr>
          <w:p w14:paraId="069A3380">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素质</w:t>
            </w:r>
            <w:r>
              <w:rPr>
                <w:rFonts w:hint="eastAsia" w:ascii="宋体" w:hAnsi="宋体" w:eastAsia="宋体" w:cs="宋体"/>
                <w:color w:val="000000" w:themeColor="text1"/>
                <w:sz w:val="21"/>
                <w:szCs w:val="21"/>
                <w14:textFill>
                  <w14:solidFill>
                    <w14:schemeClr w14:val="tx1"/>
                  </w14:solidFill>
                </w14:textFill>
              </w:rPr>
              <w:t>目标</w:t>
            </w:r>
          </w:p>
        </w:tc>
      </w:tr>
      <w:tr w14:paraId="53B20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5" w:hRule="atLeast"/>
          <w:jc w:val="center"/>
        </w:trPr>
        <w:tc>
          <w:tcPr>
            <w:tcW w:w="1543" w:type="pct"/>
            <w:gridSpan w:val="2"/>
            <w:shd w:val="clear" w:color="auto" w:fill="auto"/>
            <w:vAlign w:val="center"/>
          </w:tcPr>
          <w:p w14:paraId="769BB52A">
            <w:pPr>
              <w:spacing w:line="360" w:lineRule="auto"/>
              <w:rPr>
                <w:rFonts w:hint="eastAsia" w:ascii="宋体" w:hAnsi="宋体" w:eastAsia="宋体" w:cs="宋体"/>
                <w:color w:val="auto"/>
                <w:sz w:val="21"/>
                <w:szCs w:val="21"/>
              </w:rPr>
            </w:pPr>
            <w:r>
              <w:rPr>
                <w:rFonts w:hint="eastAsia" w:ascii="宋体" w:hAnsi="宋体" w:eastAsia="宋体" w:cs="宋体"/>
                <w:sz w:val="21"/>
                <w:szCs w:val="21"/>
                <w:lang w:val="en-US" w:eastAsia="zh-CN"/>
              </w:rPr>
              <w:t>1.了解</w:t>
            </w:r>
            <w:r>
              <w:rPr>
                <w:rFonts w:hint="eastAsia" w:ascii="宋体" w:hAnsi="宋体" w:eastAsia="宋体" w:cs="宋体"/>
                <w:color w:val="auto"/>
                <w:sz w:val="21"/>
                <w:szCs w:val="21"/>
                <w:lang w:val="en-US" w:eastAsia="zh-CN"/>
              </w:rPr>
              <w:t>蓄电池</w:t>
            </w:r>
            <w:r>
              <w:rPr>
                <w:rFonts w:hint="eastAsia" w:ascii="宋体" w:hAnsi="宋体" w:eastAsia="宋体" w:cs="宋体"/>
                <w:color w:val="auto"/>
                <w:sz w:val="21"/>
                <w:szCs w:val="21"/>
              </w:rPr>
              <w:t>的类型与特点</w:t>
            </w:r>
          </w:p>
          <w:p w14:paraId="0629E510">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auto"/>
                <w:sz w:val="21"/>
                <w:szCs w:val="21"/>
                <w:lang w:val="en-US" w:eastAsia="zh-CN"/>
              </w:rPr>
              <w:t>2.掌握动力蓄电池模</w:t>
            </w:r>
            <w:r>
              <w:rPr>
                <w:rFonts w:hint="eastAsia" w:ascii="宋体" w:hAnsi="宋体" w:eastAsia="宋体" w:cs="宋体"/>
                <w:color w:val="auto"/>
                <w:sz w:val="21"/>
                <w:szCs w:val="21"/>
              </w:rPr>
              <w:t>组</w:t>
            </w:r>
            <w:r>
              <w:rPr>
                <w:rFonts w:hint="eastAsia" w:ascii="宋体" w:hAnsi="宋体" w:eastAsia="宋体" w:cs="宋体"/>
                <w:sz w:val="21"/>
                <w:szCs w:val="21"/>
              </w:rPr>
              <w:t>的结构</w:t>
            </w:r>
          </w:p>
        </w:tc>
        <w:tc>
          <w:tcPr>
            <w:tcW w:w="1776" w:type="pct"/>
            <w:gridSpan w:val="3"/>
            <w:shd w:val="clear" w:color="auto" w:fill="auto"/>
            <w:vAlign w:val="center"/>
          </w:tcPr>
          <w:p w14:paraId="057D521C">
            <w:pPr>
              <w:spacing w:line="360" w:lineRule="auto"/>
              <w:rPr>
                <w:rFonts w:hint="eastAsia" w:ascii="宋体" w:hAnsi="宋体" w:eastAsia="宋体" w:cs="宋体"/>
                <w:color w:val="auto"/>
                <w:sz w:val="21"/>
                <w:szCs w:val="21"/>
              </w:rPr>
            </w:pPr>
            <w:r>
              <w:rPr>
                <w:rFonts w:hint="eastAsia" w:ascii="宋体" w:hAnsi="宋体" w:eastAsia="宋体" w:cs="宋体"/>
                <w:sz w:val="21"/>
                <w:szCs w:val="21"/>
                <w:lang w:val="en-US" w:eastAsia="zh-CN"/>
              </w:rPr>
              <w:t>1.能</w:t>
            </w:r>
            <w:r>
              <w:rPr>
                <w:rFonts w:hint="eastAsia" w:ascii="宋体" w:hAnsi="宋体" w:eastAsia="宋体" w:cs="宋体"/>
                <w:sz w:val="21"/>
                <w:szCs w:val="21"/>
              </w:rPr>
              <w:t>使用万用表对</w:t>
            </w:r>
            <w:r>
              <w:rPr>
                <w:rFonts w:hint="eastAsia" w:ascii="宋体" w:hAnsi="宋体" w:eastAsia="宋体" w:cs="宋体"/>
                <w:color w:val="auto"/>
                <w:sz w:val="21"/>
                <w:szCs w:val="21"/>
                <w:lang w:val="en-US" w:eastAsia="zh-CN"/>
              </w:rPr>
              <w:t>动力蓄电池</w:t>
            </w:r>
            <w:r>
              <w:rPr>
                <w:rFonts w:hint="eastAsia" w:ascii="宋体" w:hAnsi="宋体" w:eastAsia="宋体" w:cs="宋体"/>
                <w:color w:val="auto"/>
                <w:sz w:val="21"/>
                <w:szCs w:val="21"/>
              </w:rPr>
              <w:t>单体电压、模组电压、总电压的测量</w:t>
            </w:r>
          </w:p>
          <w:p w14:paraId="44B9802C">
            <w:pPr>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auto"/>
                <w:sz w:val="21"/>
                <w:szCs w:val="21"/>
                <w:lang w:val="en-US" w:eastAsia="zh-CN"/>
              </w:rPr>
              <w:t>2.能</w:t>
            </w:r>
            <w:r>
              <w:rPr>
                <w:rFonts w:hint="eastAsia" w:ascii="宋体" w:hAnsi="宋体" w:eastAsia="宋体" w:cs="宋体"/>
                <w:color w:val="auto"/>
                <w:sz w:val="21"/>
                <w:szCs w:val="21"/>
              </w:rPr>
              <w:t>使用解码仪对</w:t>
            </w:r>
            <w:r>
              <w:rPr>
                <w:rFonts w:hint="eastAsia" w:ascii="宋体" w:hAnsi="宋体" w:eastAsia="宋体" w:cs="宋体"/>
                <w:color w:val="auto"/>
                <w:sz w:val="21"/>
                <w:szCs w:val="21"/>
                <w:lang w:val="en-US" w:eastAsia="zh-CN"/>
              </w:rPr>
              <w:t>动力蓄电池</w:t>
            </w:r>
            <w:r>
              <w:rPr>
                <w:rFonts w:hint="eastAsia" w:ascii="宋体" w:hAnsi="宋体" w:eastAsia="宋体" w:cs="宋体"/>
                <w:color w:val="auto"/>
                <w:sz w:val="21"/>
                <w:szCs w:val="21"/>
              </w:rPr>
              <w:t>电压的测量</w:t>
            </w:r>
          </w:p>
        </w:tc>
        <w:tc>
          <w:tcPr>
            <w:tcW w:w="1680" w:type="pct"/>
            <w:shd w:val="clear" w:color="auto" w:fill="auto"/>
            <w:vAlign w:val="center"/>
          </w:tcPr>
          <w:p w14:paraId="61D7E906">
            <w:pPr>
              <w:numPr>
                <w:ilvl w:val="0"/>
                <w:numId w:val="0"/>
              </w:numPr>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w:t>
            </w:r>
            <w:r>
              <w:rPr>
                <w:rFonts w:hint="eastAsia" w:ascii="宋体" w:hAnsi="宋体" w:eastAsia="宋体" w:cs="宋体"/>
                <w:color w:val="000000" w:themeColor="text1"/>
                <w:sz w:val="21"/>
                <w:szCs w:val="21"/>
                <w:lang w:val="en-US" w:eastAsia="zh-CN"/>
                <w14:textFill>
                  <w14:solidFill>
                    <w14:schemeClr w14:val="tx1"/>
                  </w14:solidFill>
                </w14:textFill>
              </w:rPr>
              <w:t>在操作过程中树立高压安全意识</w:t>
            </w:r>
          </w:p>
          <w:p w14:paraId="5C786301">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2.</w:t>
            </w:r>
            <w:r>
              <w:rPr>
                <w:rFonts w:hint="eastAsia" w:ascii="宋体" w:hAnsi="宋体" w:eastAsia="宋体" w:cs="宋体"/>
                <w:color w:val="000000" w:themeColor="text1"/>
                <w:sz w:val="21"/>
                <w:szCs w:val="21"/>
                <w:lang w:val="en-US" w:eastAsia="zh-CN"/>
                <w14:textFill>
                  <w14:solidFill>
                    <w14:schemeClr w14:val="tx1"/>
                  </w14:solidFill>
                </w14:textFill>
              </w:rPr>
              <w:t>培养学生的团队协作意识</w:t>
            </w:r>
          </w:p>
        </w:tc>
      </w:tr>
      <w:tr w14:paraId="6A780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33F13226">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教学重难点</w:t>
            </w:r>
          </w:p>
          <w:p w14:paraId="0E0D891C">
            <w:pPr>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w:t>
            </w:r>
            <w:r>
              <w:rPr>
                <w:rFonts w:hint="eastAsia" w:ascii="宋体" w:hAnsi="宋体" w:eastAsia="宋体" w:cs="宋体"/>
                <w:color w:val="000000" w:themeColor="text1"/>
                <w:sz w:val="21"/>
                <w:szCs w:val="21"/>
                <w14:textFill>
                  <w14:solidFill>
                    <w14:schemeClr w14:val="tx1"/>
                  </w14:solidFill>
                </w14:textFill>
              </w:rPr>
              <w:t>教学重点</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auto"/>
                <w:sz w:val="21"/>
                <w:szCs w:val="21"/>
                <w:lang w:val="en-US" w:eastAsia="zh-CN"/>
              </w:rPr>
              <w:t>蓄电池</w:t>
            </w:r>
            <w:r>
              <w:rPr>
                <w:rFonts w:hint="eastAsia" w:ascii="宋体" w:hAnsi="宋体" w:eastAsia="宋体" w:cs="宋体"/>
                <w:color w:val="auto"/>
                <w:sz w:val="21"/>
                <w:szCs w:val="21"/>
              </w:rPr>
              <w:t>的类型与特点</w:t>
            </w:r>
          </w:p>
          <w:p w14:paraId="43517BB8">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w:t>
            </w:r>
            <w:r>
              <w:rPr>
                <w:rFonts w:hint="eastAsia" w:ascii="宋体" w:hAnsi="宋体" w:eastAsia="宋体" w:cs="宋体"/>
                <w:color w:val="000000" w:themeColor="text1"/>
                <w:sz w:val="21"/>
                <w:szCs w:val="21"/>
                <w14:textFill>
                  <w14:solidFill>
                    <w14:schemeClr w14:val="tx1"/>
                  </w14:solidFill>
                </w14:textFill>
              </w:rPr>
              <w:t>教学难点</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auto"/>
                <w:sz w:val="21"/>
                <w:szCs w:val="21"/>
                <w:lang w:val="en-US" w:eastAsia="zh-CN"/>
              </w:rPr>
              <w:t>动力蓄电池模</w:t>
            </w:r>
            <w:r>
              <w:rPr>
                <w:rFonts w:hint="eastAsia" w:ascii="宋体" w:hAnsi="宋体" w:eastAsia="宋体" w:cs="宋体"/>
                <w:color w:val="auto"/>
                <w:sz w:val="21"/>
                <w:szCs w:val="21"/>
              </w:rPr>
              <w:t>组</w:t>
            </w:r>
            <w:r>
              <w:rPr>
                <w:rFonts w:hint="eastAsia" w:ascii="宋体" w:hAnsi="宋体" w:eastAsia="宋体" w:cs="宋体"/>
                <w:sz w:val="21"/>
                <w:szCs w:val="21"/>
              </w:rPr>
              <w:t>的结构</w:t>
            </w:r>
          </w:p>
        </w:tc>
      </w:tr>
      <w:tr w14:paraId="206D9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shd w:val="clear" w:color="auto" w:fill="auto"/>
            <w:vAlign w:val="center"/>
          </w:tcPr>
          <w:p w14:paraId="15DABFBE">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教学方法</w:t>
            </w:r>
          </w:p>
          <w:p w14:paraId="5796C3A7">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讲授法、讨论法</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案例法</w:t>
            </w:r>
            <w:r>
              <w:rPr>
                <w:rFonts w:hint="eastAsia" w:ascii="宋体" w:hAnsi="宋体" w:eastAsia="宋体" w:cs="宋体"/>
                <w:color w:val="000000" w:themeColor="text1"/>
                <w:sz w:val="21"/>
                <w:szCs w:val="21"/>
                <w14:textFill>
                  <w14:solidFill>
                    <w14:schemeClr w14:val="tx1"/>
                  </w14:solidFill>
                </w14:textFill>
              </w:rPr>
              <w:t>；通过系统介绍引发学生兴趣，给出资料学生获取信息，然后应用所获信息解决问题</w:t>
            </w:r>
            <w:r>
              <w:rPr>
                <w:rFonts w:hint="eastAsia" w:ascii="宋体" w:hAnsi="宋体" w:eastAsia="宋体" w:cs="宋体"/>
                <w:color w:val="000000" w:themeColor="text1"/>
                <w:sz w:val="21"/>
                <w:szCs w:val="21"/>
                <w:lang w:eastAsia="zh-CN"/>
                <w14:textFill>
                  <w14:solidFill>
                    <w14:schemeClr w14:val="tx1"/>
                  </w14:solidFill>
                </w14:textFill>
              </w:rPr>
              <w:t>。</w:t>
            </w:r>
          </w:p>
        </w:tc>
      </w:tr>
      <w:tr w14:paraId="32DE2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shd w:val="clear" w:color="auto" w:fill="auto"/>
            <w:vAlign w:val="center"/>
          </w:tcPr>
          <w:p w14:paraId="44A40112">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教学资源</w:t>
            </w:r>
          </w:p>
          <w:p w14:paraId="394CC274">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PPT课件、</w:t>
            </w:r>
            <w:r>
              <w:rPr>
                <w:rFonts w:hint="eastAsia" w:ascii="宋体" w:hAnsi="宋体" w:eastAsia="宋体" w:cs="宋体"/>
                <w:color w:val="000000" w:themeColor="text1"/>
                <w:sz w:val="21"/>
                <w:szCs w:val="21"/>
                <w14:textFill>
                  <w14:solidFill>
                    <w14:schemeClr w14:val="tx1"/>
                  </w14:solidFill>
                </w14:textFill>
              </w:rPr>
              <w:t>微课视频</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实训设备、实训工单、练习题、思政内容等。</w:t>
            </w:r>
          </w:p>
        </w:tc>
      </w:tr>
      <w:tr w14:paraId="15AEE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shd w:val="clear" w:color="auto" w:fill="auto"/>
            <w:vAlign w:val="center"/>
          </w:tcPr>
          <w:p w14:paraId="361BDD2F">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教学实施过程</w:t>
            </w:r>
          </w:p>
        </w:tc>
      </w:tr>
      <w:tr w14:paraId="37CDB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99" w:hRule="atLeast"/>
          <w:jc w:val="center"/>
        </w:trPr>
        <w:tc>
          <w:tcPr>
            <w:tcW w:w="5000" w:type="pct"/>
            <w:gridSpan w:val="6"/>
            <w:shd w:val="clear" w:color="auto" w:fill="auto"/>
            <w:vAlign w:val="center"/>
          </w:tcPr>
          <w:p w14:paraId="1705C5EE">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w:t>
            </w:r>
            <w:r>
              <w:rPr>
                <w:rFonts w:hint="eastAsia" w:ascii="宋体" w:hAnsi="宋体" w:eastAsia="宋体" w:cs="宋体"/>
                <w:color w:val="000000" w:themeColor="text1"/>
                <w:sz w:val="21"/>
                <w:szCs w:val="21"/>
                <w14:textFill>
                  <w14:solidFill>
                    <w14:schemeClr w14:val="tx1"/>
                  </w14:solidFill>
                </w14:textFill>
              </w:rPr>
              <w:t>课前</w:t>
            </w:r>
            <w:r>
              <w:rPr>
                <w:rFonts w:hint="eastAsia" w:ascii="宋体" w:hAnsi="宋体" w:eastAsia="宋体" w:cs="宋体"/>
                <w:color w:val="000000" w:themeColor="text1"/>
                <w:sz w:val="21"/>
                <w:szCs w:val="21"/>
                <w:lang w:val="en-US" w:eastAsia="zh-CN"/>
                <w14:textFill>
                  <w14:solidFill>
                    <w14:schemeClr w14:val="tx1"/>
                  </w14:solidFill>
                </w14:textFill>
              </w:rPr>
              <w:t>准备</w:t>
            </w:r>
          </w:p>
          <w:p w14:paraId="78E22D75">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多媒体教室、教学课件、教学设备等。</w:t>
            </w:r>
          </w:p>
        </w:tc>
      </w:tr>
      <w:tr w14:paraId="32C91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3370B9F3">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2.教学内容</w:t>
            </w:r>
          </w:p>
          <w:p w14:paraId="68C0B8F4">
            <w:pPr>
              <w:bidi w:val="0"/>
              <w:spacing w:line="360" w:lineRule="auto"/>
              <w:rPr>
                <w:rFonts w:hint="eastAsia" w:ascii="宋体" w:hAnsi="宋体" w:eastAsia="宋体" w:cs="宋体"/>
                <w:color w:val="000000" w:themeColor="text1"/>
                <w:kern w:val="2"/>
                <w:sz w:val="21"/>
                <w:szCs w:val="21"/>
                <w:lang w:val="en-US" w:bidi="ar-SA"/>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一、动力电池的类型</w:t>
            </w:r>
          </w:p>
          <w:p w14:paraId="3EA29A58">
            <w:pPr>
              <w:spacing w:line="360" w:lineRule="auto"/>
              <w:jc w:val="both"/>
              <w:rPr>
                <w:rFonts w:hint="eastAsia" w:ascii="宋体" w:hAnsi="宋体" w:eastAsia="宋体" w:cs="宋体"/>
                <w:color w:val="000000" w:themeColor="text1"/>
                <w:kern w:val="2"/>
                <w:sz w:val="21"/>
                <w:szCs w:val="21"/>
                <w:lang w:bidi="ar-SA"/>
                <w14:textFill>
                  <w14:solidFill>
                    <w14:schemeClr w14:val="tx1"/>
                  </w14:solidFill>
                </w14:textFill>
              </w:rPr>
            </w:pPr>
            <w:r>
              <w:rPr>
                <w:rFonts w:hint="eastAsia" w:ascii="宋体" w:hAnsi="宋体" w:eastAsia="宋体" w:cs="宋体"/>
                <w:color w:val="auto"/>
                <w:sz w:val="21"/>
                <w:szCs w:val="21"/>
              </w:rPr>
              <w:t>目前，电动汽车上使用的</w:t>
            </w:r>
            <w:r>
              <w:rPr>
                <w:rFonts w:hint="eastAsia" w:ascii="宋体" w:hAnsi="宋体" w:eastAsia="宋体" w:cs="宋体"/>
                <w:color w:val="auto"/>
                <w:sz w:val="21"/>
                <w:szCs w:val="21"/>
                <w:lang w:val="en-US" w:eastAsia="zh-CN"/>
              </w:rPr>
              <w:t>蓄电池</w:t>
            </w:r>
            <w:r>
              <w:rPr>
                <w:rFonts w:hint="eastAsia" w:ascii="宋体" w:hAnsi="宋体" w:eastAsia="宋体" w:cs="宋体"/>
                <w:color w:val="auto"/>
                <w:sz w:val="21"/>
                <w:szCs w:val="21"/>
              </w:rPr>
              <w:t>多为</w:t>
            </w:r>
            <w:r>
              <w:rPr>
                <w:rFonts w:hint="eastAsia" w:ascii="宋体" w:hAnsi="宋体" w:eastAsia="宋体" w:cs="宋体"/>
                <w:color w:val="auto"/>
                <w:sz w:val="21"/>
                <w:szCs w:val="21"/>
                <w:lang w:eastAsia="zh-CN"/>
              </w:rPr>
              <w:t>锂离子蓄电池</w:t>
            </w:r>
            <w:r>
              <w:rPr>
                <w:rFonts w:hint="eastAsia" w:ascii="宋体" w:hAnsi="宋体" w:eastAsia="宋体" w:cs="宋体"/>
                <w:color w:val="auto"/>
                <w:sz w:val="21"/>
                <w:szCs w:val="21"/>
              </w:rPr>
              <w:t>。</w:t>
            </w:r>
            <w:r>
              <w:rPr>
                <w:rFonts w:hint="eastAsia" w:ascii="宋体" w:hAnsi="宋体" w:eastAsia="宋体" w:cs="宋体"/>
                <w:color w:val="auto"/>
                <w:sz w:val="21"/>
                <w:szCs w:val="21"/>
                <w:lang w:eastAsia="zh-CN"/>
              </w:rPr>
              <w:t>锂离子蓄电池</w:t>
            </w:r>
            <w:r>
              <w:rPr>
                <w:rFonts w:hint="eastAsia" w:ascii="宋体" w:hAnsi="宋体" w:eastAsia="宋体" w:cs="宋体"/>
                <w:color w:val="auto"/>
                <w:sz w:val="21"/>
                <w:szCs w:val="21"/>
              </w:rPr>
              <w:t>又分为三元锂</w:t>
            </w:r>
            <w:r>
              <w:rPr>
                <w:rFonts w:hint="eastAsia" w:ascii="宋体" w:hAnsi="宋体" w:eastAsia="宋体" w:cs="宋体"/>
                <w:color w:val="auto"/>
                <w:sz w:val="21"/>
                <w:szCs w:val="21"/>
                <w:lang w:eastAsia="zh-CN"/>
              </w:rPr>
              <w:t>离子蓄</w:t>
            </w:r>
            <w:r>
              <w:rPr>
                <w:rFonts w:hint="eastAsia" w:ascii="宋体" w:hAnsi="宋体" w:eastAsia="宋体" w:cs="宋体"/>
                <w:color w:val="auto"/>
                <w:sz w:val="21"/>
                <w:szCs w:val="21"/>
              </w:rPr>
              <w:t>电池和磷酸铁锂</w:t>
            </w:r>
            <w:r>
              <w:rPr>
                <w:rFonts w:hint="eastAsia" w:ascii="宋体" w:hAnsi="宋体" w:eastAsia="宋体" w:cs="宋体"/>
                <w:color w:val="auto"/>
                <w:sz w:val="21"/>
                <w:szCs w:val="21"/>
                <w:lang w:eastAsia="zh-CN"/>
              </w:rPr>
              <w:t>离子蓄</w:t>
            </w:r>
            <w:r>
              <w:rPr>
                <w:rFonts w:hint="eastAsia" w:ascii="宋体" w:hAnsi="宋体" w:eastAsia="宋体" w:cs="宋体"/>
                <w:color w:val="auto"/>
                <w:sz w:val="21"/>
                <w:szCs w:val="21"/>
              </w:rPr>
              <w:t>电池</w:t>
            </w:r>
          </w:p>
          <w:p w14:paraId="560B5CF0">
            <w:pPr>
              <w:spacing w:line="360" w:lineRule="auto"/>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3025140" cy="3050540"/>
                  <wp:effectExtent l="0" t="0" r="3810" b="16510"/>
                  <wp:docPr id="261"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6" descr="IMG_256"/>
                          <pic:cNvPicPr>
                            <a:picLocks noChangeAspect="1"/>
                          </pic:cNvPicPr>
                        </pic:nvPicPr>
                        <pic:blipFill>
                          <a:blip r:embed="rId5"/>
                          <a:srcRect t="12325" b="12044"/>
                          <a:stretch>
                            <a:fillRect/>
                          </a:stretch>
                        </pic:blipFill>
                        <pic:spPr>
                          <a:xfrm>
                            <a:off x="0" y="0"/>
                            <a:ext cx="3025140" cy="3050540"/>
                          </a:xfrm>
                          <a:prstGeom prst="rect">
                            <a:avLst/>
                          </a:prstGeom>
                          <a:noFill/>
                          <a:ln w="9525">
                            <a:noFill/>
                          </a:ln>
                        </pic:spPr>
                      </pic:pic>
                    </a:graphicData>
                  </a:graphic>
                </wp:inline>
              </w:drawing>
            </w:r>
          </w:p>
          <w:p w14:paraId="1A0E204C">
            <w:pPr>
              <w:spacing w:line="360" w:lineRule="auto"/>
              <w:jc w:val="center"/>
              <w:rPr>
                <w:rFonts w:hint="eastAsia" w:ascii="宋体" w:hAnsi="宋体" w:eastAsia="宋体" w:cs="宋体"/>
                <w:sz w:val="21"/>
                <w:szCs w:val="21"/>
                <w:lang w:eastAsia="zh-CN"/>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4925060" cy="2247265"/>
                  <wp:effectExtent l="0" t="0" r="8890" b="63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6"/>
                          <a:stretch>
                            <a:fillRect/>
                          </a:stretch>
                        </pic:blipFill>
                        <pic:spPr>
                          <a:xfrm>
                            <a:off x="0" y="0"/>
                            <a:ext cx="4925060" cy="2247265"/>
                          </a:xfrm>
                          <a:prstGeom prst="rect">
                            <a:avLst/>
                          </a:prstGeom>
                          <a:noFill/>
                          <a:ln>
                            <a:noFill/>
                          </a:ln>
                        </pic:spPr>
                      </pic:pic>
                    </a:graphicData>
                  </a:graphic>
                </wp:inline>
              </w:drawing>
            </w:r>
          </w:p>
          <w:p w14:paraId="77CA6A87">
            <w:pPr>
              <w:numPr>
                <w:ilvl w:val="0"/>
                <w:numId w:val="0"/>
              </w:numPr>
              <w:bidi w:val="0"/>
              <w:spacing w:line="360" w:lineRule="auto"/>
              <w:rPr>
                <w:rFonts w:hint="eastAsia" w:ascii="宋体" w:hAnsi="宋体" w:eastAsia="宋体" w:cs="宋体"/>
                <w:sz w:val="21"/>
                <w:szCs w:val="21"/>
              </w:rPr>
            </w:pPr>
            <w:r>
              <w:rPr>
                <w:rFonts w:hint="eastAsia" w:ascii="宋体" w:hAnsi="宋体" w:eastAsia="宋体" w:cs="宋体"/>
                <w:color w:val="000000" w:themeColor="text1"/>
                <w:sz w:val="21"/>
                <w:szCs w:val="21"/>
                <w:lang w:val="en-US" w:eastAsia="zh-CN"/>
                <w14:textFill>
                  <w14:solidFill>
                    <w14:schemeClr w14:val="tx1"/>
                  </w14:solidFill>
                </w14:textFill>
              </w:rPr>
              <w:t>2.</w:t>
            </w:r>
            <w:r>
              <w:rPr>
                <w:rFonts w:hint="eastAsia" w:ascii="宋体" w:hAnsi="宋体" w:eastAsia="宋体" w:cs="宋体"/>
                <w:sz w:val="21"/>
                <w:szCs w:val="21"/>
                <w:lang w:eastAsia="zh-CN"/>
              </w:rPr>
              <w:t>动力</w:t>
            </w:r>
            <w:r>
              <w:rPr>
                <w:rFonts w:hint="eastAsia" w:ascii="宋体" w:hAnsi="宋体" w:eastAsia="宋体" w:cs="宋体"/>
                <w:sz w:val="21"/>
                <w:szCs w:val="21"/>
                <w:lang w:val="en-US" w:eastAsia="zh-CN"/>
              </w:rPr>
              <w:t>蓄</w:t>
            </w:r>
            <w:r>
              <w:rPr>
                <w:rFonts w:hint="eastAsia" w:ascii="宋体" w:hAnsi="宋体" w:eastAsia="宋体" w:cs="宋体"/>
                <w:sz w:val="21"/>
                <w:szCs w:val="21"/>
                <w:lang w:eastAsia="zh-CN"/>
              </w:rPr>
              <w:t>电池</w:t>
            </w:r>
            <w:r>
              <w:rPr>
                <w:rFonts w:hint="eastAsia" w:ascii="宋体" w:hAnsi="宋体" w:eastAsia="宋体" w:cs="宋体"/>
                <w:sz w:val="21"/>
                <w:szCs w:val="21"/>
              </w:rPr>
              <w:t>的结构</w:t>
            </w:r>
          </w:p>
          <w:p w14:paraId="24AEE675">
            <w:pPr>
              <w:spacing w:line="360" w:lineRule="auto"/>
              <w:ind w:firstLine="420"/>
              <w:rPr>
                <w:rFonts w:hint="eastAsia" w:ascii="宋体" w:hAnsi="宋体" w:eastAsia="宋体" w:cs="宋体"/>
                <w:color w:val="auto"/>
                <w:sz w:val="21"/>
                <w:szCs w:val="21"/>
                <w:lang w:val="en-US" w:eastAsia="zh-CN"/>
              </w:rPr>
            </w:pPr>
            <w:r>
              <w:rPr>
                <w:rFonts w:hint="eastAsia" w:ascii="宋体" w:hAnsi="宋体" w:eastAsia="宋体" w:cs="宋体"/>
                <w:color w:val="000000" w:themeColor="text1"/>
                <w:sz w:val="21"/>
                <w:szCs w:val="21"/>
                <w:lang w:eastAsia="zh-CN"/>
                <w14:textFill>
                  <w14:solidFill>
                    <w14:schemeClr w14:val="tx1"/>
                  </w14:solidFill>
                </w14:textFill>
              </w:rPr>
              <w:t>动力电池组一般由动力电池模组、电池管理系统（BMS）、动力电池托盘、辅助元器件、冷却系统等部分组成，如图1-1-2所示。动力蓄电池</w:t>
            </w:r>
            <w:r>
              <w:rPr>
                <w:rFonts w:hint="eastAsia" w:ascii="宋体" w:hAnsi="宋体" w:eastAsia="宋体" w:cs="宋体"/>
                <w:color w:val="000000" w:themeColor="text1"/>
                <w:sz w:val="21"/>
                <w:szCs w:val="21"/>
                <w14:textFill>
                  <w14:solidFill>
                    <w14:schemeClr w14:val="tx1"/>
                  </w14:solidFill>
                </w14:textFill>
              </w:rPr>
              <w:t>由</w:t>
            </w:r>
            <w:r>
              <w:rPr>
                <w:rFonts w:hint="eastAsia" w:ascii="宋体" w:hAnsi="宋体" w:eastAsia="宋体" w:cs="宋体"/>
                <w:color w:val="auto"/>
                <w:sz w:val="21"/>
                <w:szCs w:val="21"/>
                <w:lang w:eastAsia="zh-CN"/>
              </w:rPr>
              <w:t>单体蓄电池</w:t>
            </w:r>
            <w:r>
              <w:rPr>
                <w:rFonts w:hint="eastAsia" w:ascii="宋体" w:hAnsi="宋体" w:eastAsia="宋体" w:cs="宋体"/>
                <w:color w:val="auto"/>
                <w:sz w:val="21"/>
                <w:szCs w:val="21"/>
                <w:lang w:val="en-US" w:eastAsia="zh-CN"/>
              </w:rPr>
              <w:t>连</w:t>
            </w:r>
            <w:r>
              <w:rPr>
                <w:rFonts w:hint="eastAsia" w:ascii="宋体" w:hAnsi="宋体" w:eastAsia="宋体" w:cs="宋体"/>
                <w:color w:val="auto"/>
                <w:sz w:val="21"/>
                <w:szCs w:val="21"/>
              </w:rPr>
              <w:t>接形成高电压。首先，多个</w:t>
            </w:r>
            <w:r>
              <w:rPr>
                <w:rFonts w:hint="eastAsia" w:ascii="宋体" w:hAnsi="宋体" w:eastAsia="宋体" w:cs="宋体"/>
                <w:color w:val="auto"/>
                <w:sz w:val="21"/>
                <w:szCs w:val="21"/>
                <w:lang w:eastAsia="zh-CN"/>
              </w:rPr>
              <w:t>单体蓄电池</w:t>
            </w:r>
            <w:r>
              <w:rPr>
                <w:rFonts w:hint="eastAsia" w:ascii="宋体" w:hAnsi="宋体" w:eastAsia="宋体" w:cs="宋体"/>
                <w:color w:val="auto"/>
                <w:sz w:val="21"/>
                <w:szCs w:val="21"/>
              </w:rPr>
              <w:t>形成</w:t>
            </w:r>
            <w:r>
              <w:rPr>
                <w:rFonts w:hint="eastAsia" w:ascii="宋体" w:hAnsi="宋体" w:eastAsia="宋体" w:cs="宋体"/>
                <w:color w:val="auto"/>
                <w:sz w:val="21"/>
                <w:szCs w:val="21"/>
                <w:lang w:val="en-US" w:eastAsia="zh-CN"/>
              </w:rPr>
              <w:t>蓄电池</w:t>
            </w:r>
            <w:r>
              <w:rPr>
                <w:rFonts w:hint="eastAsia" w:ascii="宋体" w:hAnsi="宋体" w:eastAsia="宋体" w:cs="宋体"/>
                <w:strike w:val="0"/>
                <w:dstrike w:val="0"/>
                <w:color w:val="auto"/>
                <w:sz w:val="21"/>
                <w:szCs w:val="21"/>
              </w:rPr>
              <w:t>模</w:t>
            </w:r>
            <w:r>
              <w:rPr>
                <w:rFonts w:hint="eastAsia" w:ascii="宋体" w:hAnsi="宋体" w:eastAsia="宋体" w:cs="宋体"/>
                <w:color w:val="auto"/>
                <w:sz w:val="21"/>
                <w:szCs w:val="21"/>
              </w:rPr>
              <w:t>组，然后，再将多个</w:t>
            </w:r>
            <w:r>
              <w:rPr>
                <w:rFonts w:hint="eastAsia" w:ascii="宋体" w:hAnsi="宋体" w:eastAsia="宋体" w:cs="宋体"/>
                <w:color w:val="auto"/>
                <w:sz w:val="21"/>
                <w:szCs w:val="21"/>
                <w:lang w:val="en-US" w:eastAsia="zh-CN"/>
              </w:rPr>
              <w:t>蓄电池</w:t>
            </w:r>
            <w:r>
              <w:rPr>
                <w:rFonts w:hint="eastAsia" w:ascii="宋体" w:hAnsi="宋体" w:eastAsia="宋体" w:cs="宋体"/>
                <w:strike w:val="0"/>
                <w:dstrike w:val="0"/>
                <w:color w:val="auto"/>
                <w:sz w:val="21"/>
                <w:szCs w:val="21"/>
              </w:rPr>
              <w:t>模</w:t>
            </w:r>
            <w:r>
              <w:rPr>
                <w:rFonts w:hint="eastAsia" w:ascii="宋体" w:hAnsi="宋体" w:eastAsia="宋体" w:cs="宋体"/>
                <w:color w:val="auto"/>
                <w:sz w:val="21"/>
                <w:szCs w:val="21"/>
              </w:rPr>
              <w:t>组串联起来就形成了</w:t>
            </w:r>
            <w:r>
              <w:rPr>
                <w:rFonts w:hint="eastAsia" w:ascii="宋体" w:hAnsi="宋体" w:eastAsia="宋体" w:cs="宋体"/>
                <w:color w:val="auto"/>
                <w:sz w:val="21"/>
                <w:szCs w:val="21"/>
                <w:lang w:eastAsia="zh-CN"/>
              </w:rPr>
              <w:t>动力蓄电池</w:t>
            </w:r>
            <w:r>
              <w:rPr>
                <w:rFonts w:hint="eastAsia" w:ascii="宋体" w:hAnsi="宋体" w:eastAsia="宋体" w:cs="宋体"/>
                <w:color w:val="auto"/>
                <w:sz w:val="21"/>
                <w:szCs w:val="21"/>
              </w:rPr>
              <w:t>。</w:t>
            </w:r>
          </w:p>
          <w:p w14:paraId="37D1B92B">
            <w:pPr>
              <w:bidi w:val="0"/>
              <w:spacing w:line="360" w:lineRule="auto"/>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5270500" cy="3293110"/>
                  <wp:effectExtent l="0" t="0" r="6350" b="2540"/>
                  <wp:docPr id="262"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7" descr="IMG_256"/>
                          <pic:cNvPicPr>
                            <a:picLocks noChangeAspect="1"/>
                          </pic:cNvPicPr>
                        </pic:nvPicPr>
                        <pic:blipFill>
                          <a:blip r:embed="rId7"/>
                          <a:stretch>
                            <a:fillRect/>
                          </a:stretch>
                        </pic:blipFill>
                        <pic:spPr>
                          <a:xfrm>
                            <a:off x="0" y="0"/>
                            <a:ext cx="5270500" cy="3293110"/>
                          </a:xfrm>
                          <a:prstGeom prst="rect">
                            <a:avLst/>
                          </a:prstGeom>
                          <a:noFill/>
                          <a:ln w="9525">
                            <a:noFill/>
                          </a:ln>
                        </pic:spPr>
                      </pic:pic>
                    </a:graphicData>
                  </a:graphic>
                </wp:inline>
              </w:drawing>
            </w:r>
          </w:p>
          <w:p w14:paraId="6CE5D42A">
            <w:pPr>
              <w:numPr>
                <w:ilvl w:val="0"/>
                <w:numId w:val="1"/>
              </w:numPr>
              <w:ind w:firstLine="0"/>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三元</w:t>
            </w:r>
            <w:r>
              <w:rPr>
                <w:rFonts w:hint="eastAsia" w:ascii="宋体" w:hAnsi="宋体" w:eastAsia="宋体" w:cs="宋体"/>
                <w:color w:val="000000" w:themeColor="text1"/>
                <w:sz w:val="21"/>
                <w:szCs w:val="21"/>
                <w:lang w:eastAsia="zh-CN"/>
                <w14:textFill>
                  <w14:solidFill>
                    <w14:schemeClr w14:val="tx1"/>
                  </w14:solidFill>
                </w14:textFill>
              </w:rPr>
              <w:t>锂离子蓄电池</w:t>
            </w:r>
          </w:p>
          <w:p w14:paraId="3E69D23E">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是一种使用镍钴锰酸锂（Li(NiCoMn)O2）或镍钴铝酸锂（NCA）作为正极材料的锂离子电池。其正极材料包含镍、钴、锰（或铝）三种金属元素，负极材料通常是石墨。三元锂电池的标称电压可达3.6-3.8V，能量密度高，电压平台高，振实密度高，续航里程长，输出功率较大，低温性能优异，但高温稳定性较差，存在热失控和起火的风险。‌</w:t>
            </w:r>
          </w:p>
          <w:p w14:paraId="5106F6F9">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特性</w:t>
            </w:r>
          </w:p>
          <w:p w14:paraId="1E76F638">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（1）‌高能量密度‌：在相同体积或重量下，三元锂电池能储存更多的电能，提供更长的续航里程。</w:t>
            </w:r>
          </w:p>
          <w:p w14:paraId="5905F5D5">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（2）寿命长‌：经过多次充放电循环后，仍能保持较高的容量和效率。</w:t>
            </w:r>
          </w:p>
          <w:p w14:paraId="54F85648">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（3）‌耐低温‌：在较低温度下性能损失较小，适合寒冷地区使用。</w:t>
            </w:r>
          </w:p>
          <w:p w14:paraId="302D50D2">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（4）‌快速充电‌：支持较快的充电速度，适用于需要快速补充电能的应用场景。</w:t>
            </w:r>
          </w:p>
          <w:p w14:paraId="7A683355">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（5）‌小体积大容量‌：可以设计得更小、更轻，同时保持高容量。</w:t>
            </w:r>
          </w:p>
          <w:p w14:paraId="2170A021">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2.磷酸铁锂电池</w:t>
            </w:r>
          </w:p>
          <w:p w14:paraId="395D2854">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是一种使用磷酸铁锂（LiFePO4）作为正极材料，碳作为负极材料的锂离子电池。‌其单体额定电压为3.2V，充电截止电压为3.6V～3.65V。磷酸铁锂电池具有工作电压高、能量密度大、循环寿命长、安全性能好、自放电率小、无记忆效应等优点。‌</w:t>
            </w:r>
          </w:p>
          <w:p w14:paraId="6FC46740">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特性</w:t>
            </w:r>
          </w:p>
          <w:p w14:paraId="0A28A5B9">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（1）长寿命‌：磷酸铁锂电池的循环寿命可达2000次以上，远高于传统铅酸电池的300—500次循环寿命。</w:t>
            </w:r>
          </w:p>
          <w:p w14:paraId="09428044">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（2）‌安全性高‌：即使在强烈的碰撞下也不会产生爆炸，经过严格的安全测试，确保使用安全。</w:t>
            </w:r>
          </w:p>
          <w:p w14:paraId="203B91F1">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（3）‌快速充电‌：使用专用充电器，1.5C充电40分钟即可充满，启动电流可达2C。</w:t>
            </w:r>
          </w:p>
          <w:p w14:paraId="043E0363">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（4）‌耐高温‌：电热峰值可达350℃—500℃，适合在高温环境下使用。</w:t>
            </w:r>
          </w:p>
          <w:p w14:paraId="103CDE7B">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（5）‌绿色环保‌：无毒无味，符合欧洲RoHS规定，属于绿色环保电池。</w:t>
            </w:r>
          </w:p>
          <w:p w14:paraId="7AC7B87E">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（6）‌大容量‌：具有比普通电池更大的容量。</w:t>
            </w:r>
          </w:p>
          <w:p w14:paraId="495CE4C1">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（7）‌无记忆效应‌：无论处于什么状态，可随充随用，无须先放完再充电。</w:t>
            </w:r>
          </w:p>
          <w:p w14:paraId="0935DC29">
            <w:pPr>
              <w:ind w:firstLine="42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三元</w:t>
            </w:r>
            <w:r>
              <w:rPr>
                <w:rFonts w:hint="eastAsia" w:ascii="宋体" w:hAnsi="宋体" w:eastAsia="宋体" w:cs="宋体"/>
                <w:color w:val="000000" w:themeColor="text1"/>
                <w:sz w:val="21"/>
                <w:szCs w:val="21"/>
                <w:lang w:eastAsia="zh-CN"/>
                <w14:textFill>
                  <w14:solidFill>
                    <w14:schemeClr w14:val="tx1"/>
                  </w14:solidFill>
                </w14:textFill>
              </w:rPr>
              <w:t>锂离子蓄电池</w:t>
            </w:r>
            <w:r>
              <w:rPr>
                <w:rFonts w:hint="eastAsia" w:ascii="宋体" w:hAnsi="宋体" w:eastAsia="宋体" w:cs="宋体"/>
                <w:color w:val="000000" w:themeColor="text1"/>
                <w:sz w:val="21"/>
                <w:szCs w:val="21"/>
                <w14:textFill>
                  <w14:solidFill>
                    <w14:schemeClr w14:val="tx1"/>
                  </w14:solidFill>
                </w14:textFill>
              </w:rPr>
              <w:t>和磷酸铁</w:t>
            </w:r>
            <w:r>
              <w:rPr>
                <w:rFonts w:hint="eastAsia" w:ascii="宋体" w:hAnsi="宋体" w:eastAsia="宋体" w:cs="宋体"/>
                <w:color w:val="000000" w:themeColor="text1"/>
                <w:sz w:val="21"/>
                <w:szCs w:val="21"/>
                <w:lang w:eastAsia="zh-CN"/>
                <w14:textFill>
                  <w14:solidFill>
                    <w14:schemeClr w14:val="tx1"/>
                  </w14:solidFill>
                </w14:textFill>
              </w:rPr>
              <w:t>锂离子蓄电池</w:t>
            </w:r>
            <w:r>
              <w:rPr>
                <w:rFonts w:hint="eastAsia" w:ascii="宋体" w:hAnsi="宋体" w:eastAsia="宋体" w:cs="宋体"/>
                <w:color w:val="000000" w:themeColor="text1"/>
                <w:sz w:val="21"/>
                <w:szCs w:val="21"/>
                <w14:textFill>
                  <w14:solidFill>
                    <w14:schemeClr w14:val="tx1"/>
                  </w14:solidFill>
                </w14:textFill>
              </w:rPr>
              <w:t>相比而言，三元</w:t>
            </w:r>
            <w:r>
              <w:rPr>
                <w:rFonts w:hint="eastAsia" w:ascii="宋体" w:hAnsi="宋体" w:eastAsia="宋体" w:cs="宋体"/>
                <w:color w:val="000000" w:themeColor="text1"/>
                <w:sz w:val="21"/>
                <w:szCs w:val="21"/>
                <w:lang w:eastAsia="zh-CN"/>
                <w14:textFill>
                  <w14:solidFill>
                    <w14:schemeClr w14:val="tx1"/>
                  </w14:solidFill>
                </w14:textFill>
              </w:rPr>
              <w:t>锂离子蓄电池</w:t>
            </w:r>
            <w:r>
              <w:rPr>
                <w:rFonts w:hint="eastAsia" w:ascii="宋体" w:hAnsi="宋体" w:eastAsia="宋体" w:cs="宋体"/>
                <w:color w:val="000000" w:themeColor="text1"/>
                <w:sz w:val="21"/>
                <w:szCs w:val="21"/>
                <w14:textFill>
                  <w14:solidFill>
                    <w14:schemeClr w14:val="tx1"/>
                  </w14:solidFill>
                </w14:textFill>
              </w:rPr>
              <w:t>能量密度高，耐低温性能好，充电效率高，但高温性能和使用寿命较低。磷酸铁</w:t>
            </w:r>
            <w:r>
              <w:rPr>
                <w:rFonts w:hint="eastAsia" w:ascii="宋体" w:hAnsi="宋体" w:eastAsia="宋体" w:cs="宋体"/>
                <w:color w:val="000000" w:themeColor="text1"/>
                <w:sz w:val="21"/>
                <w:szCs w:val="21"/>
                <w:lang w:eastAsia="zh-CN"/>
                <w14:textFill>
                  <w14:solidFill>
                    <w14:schemeClr w14:val="tx1"/>
                  </w14:solidFill>
                </w14:textFill>
              </w:rPr>
              <w:t>锂离子蓄电池</w:t>
            </w:r>
            <w:r>
              <w:rPr>
                <w:rFonts w:hint="eastAsia" w:ascii="宋体" w:hAnsi="宋体" w:eastAsia="宋体" w:cs="宋体"/>
                <w:color w:val="000000" w:themeColor="text1"/>
                <w:sz w:val="21"/>
                <w:szCs w:val="21"/>
                <w14:textFill>
                  <w14:solidFill>
                    <w14:schemeClr w14:val="tx1"/>
                  </w14:solidFill>
                </w14:textFill>
              </w:rPr>
              <w:t>高温性能好并且使用寿命高，但能量密度低，耐低温性能不好，充电效率不高。</w:t>
            </w:r>
          </w:p>
          <w:p w14:paraId="12D4F2AE">
            <w:pPr>
              <w:pStyle w:val="4"/>
              <w:bidi w:val="0"/>
              <w:rPr>
                <w:rFonts w:hint="eastAsia" w:ascii="宋体" w:hAnsi="宋体" w:eastAsia="宋体" w:cs="宋体"/>
                <w:sz w:val="21"/>
                <w:szCs w:val="21"/>
              </w:rPr>
            </w:pPr>
            <w:r>
              <w:rPr>
                <w:rFonts w:hint="eastAsia" w:ascii="宋体" w:hAnsi="宋体" w:eastAsia="宋体" w:cs="宋体"/>
                <w:sz w:val="21"/>
                <w:szCs w:val="21"/>
                <w:lang w:val="en-US" w:eastAsia="zh-CN"/>
              </w:rPr>
              <w:t>二、</w:t>
            </w:r>
            <w:r>
              <w:rPr>
                <w:rFonts w:hint="eastAsia" w:ascii="宋体" w:hAnsi="宋体" w:eastAsia="宋体" w:cs="宋体"/>
                <w:sz w:val="21"/>
                <w:szCs w:val="21"/>
                <w:lang w:eastAsia="zh-CN"/>
              </w:rPr>
              <w:t>动力</w:t>
            </w:r>
            <w:r>
              <w:rPr>
                <w:rFonts w:hint="eastAsia" w:ascii="宋体" w:hAnsi="宋体" w:eastAsia="宋体" w:cs="宋体"/>
                <w:sz w:val="21"/>
                <w:szCs w:val="21"/>
                <w:lang w:val="en-US" w:eastAsia="zh-CN"/>
              </w:rPr>
              <w:t>蓄</w:t>
            </w:r>
            <w:r>
              <w:rPr>
                <w:rFonts w:hint="eastAsia" w:ascii="宋体" w:hAnsi="宋体" w:eastAsia="宋体" w:cs="宋体"/>
                <w:sz w:val="21"/>
                <w:szCs w:val="21"/>
                <w:lang w:eastAsia="zh-CN"/>
              </w:rPr>
              <w:t>电池</w:t>
            </w:r>
            <w:r>
              <w:rPr>
                <w:rFonts w:hint="eastAsia" w:ascii="宋体" w:hAnsi="宋体" w:eastAsia="宋体" w:cs="宋体"/>
                <w:sz w:val="21"/>
                <w:szCs w:val="21"/>
              </w:rPr>
              <w:t>的结构</w:t>
            </w:r>
          </w:p>
          <w:p w14:paraId="6E2E8486">
            <w:pPr>
              <w:bidi w:val="0"/>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动力电池组一般由动力电池模组、电池管理系统（BMS）、动力电池托盘、辅助元器件、冷却系统等部分组成，如图1-2-2所示。动力蓄电池由单体蓄电池连接形成高电压。首先，多个单体蓄电池形成蓄电池模组，然后，再将多个蓄电池模组串联起来就形成了动力蓄电池。</w:t>
            </w:r>
          </w:p>
          <w:p w14:paraId="3871E100">
            <w:pPr>
              <w:bidi w:val="0"/>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rPr>
              <w:drawing>
                <wp:inline distT="0" distB="0" distL="114300" distR="114300">
                  <wp:extent cx="4178935" cy="2973070"/>
                  <wp:effectExtent l="0" t="0" r="12065" b="17780"/>
                  <wp:docPr id="263"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8" descr="IMG_256"/>
                          <pic:cNvPicPr>
                            <a:picLocks noChangeAspect="1"/>
                          </pic:cNvPicPr>
                        </pic:nvPicPr>
                        <pic:blipFill>
                          <a:blip r:embed="rId8"/>
                          <a:srcRect l="14010" t="20837" r="6643" b="6087"/>
                          <a:stretch>
                            <a:fillRect/>
                          </a:stretch>
                        </pic:blipFill>
                        <pic:spPr>
                          <a:xfrm>
                            <a:off x="0" y="0"/>
                            <a:ext cx="4178935" cy="2973070"/>
                          </a:xfrm>
                          <a:prstGeom prst="rect">
                            <a:avLst/>
                          </a:prstGeom>
                          <a:noFill/>
                          <a:ln w="9525">
                            <a:noFill/>
                          </a:ln>
                        </pic:spPr>
                      </pic:pic>
                    </a:graphicData>
                  </a:graphic>
                </wp:inline>
              </w:drawing>
            </w:r>
          </w:p>
          <w:p w14:paraId="23E9FF85">
            <w:pPr>
              <w:bidi w:val="0"/>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1.单体蓄电池的连接</w:t>
            </w:r>
          </w:p>
          <w:p w14:paraId="170C74F1">
            <w:pPr>
              <w:bidi w:val="0"/>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蓄电池模组是由单体蓄电池连接而成的，连接的方式可一般为单电池串联、先并后串两种情况。</w:t>
            </w:r>
          </w:p>
          <w:p w14:paraId="3D74DEB7">
            <w:pPr>
              <w:numPr>
                <w:ilvl w:val="0"/>
                <w:numId w:val="2"/>
              </w:numPr>
              <w:bidi w:val="0"/>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 xml:space="preserve">单电池串联  单电池串联是直接将多个单电池正极接负极串联起来的一种方式，它串联的总电压是各个单电池电压之和，如图1-2-5所示。 </w:t>
            </w:r>
          </w:p>
          <w:p w14:paraId="76C2449D">
            <w:pPr>
              <w:numPr>
                <w:ilvl w:val="0"/>
                <w:numId w:val="2"/>
              </w:numPr>
              <w:bidi w:val="0"/>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（2）先并后串  先并后串是将两个或多个单体蓄电池先进行正极接正极、负极接负极的方式并联成一个单元，再将多个这样的单元进行串联形成电池组，每个并联单元的电压和一个单体蓄电池的电压相等，模组的总电压是各单元电压的总和。</w:t>
            </w:r>
          </w:p>
          <w:p w14:paraId="7C37DDB7">
            <w:pPr>
              <w:numPr>
                <w:ilvl w:val="0"/>
                <w:numId w:val="2"/>
              </w:numPr>
              <w:bidi w:val="0"/>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 xml:space="preserve">吉利帝豪的蓄电池模组是将两个单体蓄电池先进行并联，再进行串联起来的，如图1-2-6所示。 </w:t>
            </w: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5200650" cy="1681480"/>
                  <wp:effectExtent l="0" t="0" r="0" b="1397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9"/>
                          <a:stretch>
                            <a:fillRect/>
                          </a:stretch>
                        </pic:blipFill>
                        <pic:spPr>
                          <a:xfrm>
                            <a:off x="0" y="0"/>
                            <a:ext cx="5200650" cy="1681480"/>
                          </a:xfrm>
                          <a:prstGeom prst="rect">
                            <a:avLst/>
                          </a:prstGeom>
                          <a:noFill/>
                          <a:ln>
                            <a:noFill/>
                          </a:ln>
                        </pic:spPr>
                      </pic:pic>
                    </a:graphicData>
                  </a:graphic>
                </wp:inline>
              </w:drawing>
            </w:r>
          </w:p>
          <w:p w14:paraId="01756DFB">
            <w:pPr>
              <w:numPr>
                <w:ilvl w:val="0"/>
                <w:numId w:val="0"/>
              </w:numPr>
              <w:bidi w:val="0"/>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 xml:space="preserve"> 特斯拉ModeL S使用的是型号为18650圆柱体型的三元锂离子蓄电池，其直径18mm、高65mm，0代表圆柱体。它的连接方式是将74个18650蓄电池先行并联再进行串联，如图1-2-7所示。</w:t>
            </w:r>
          </w:p>
          <w:p w14:paraId="4CDECDA3">
            <w:pPr>
              <w:numPr>
                <w:ilvl w:val="0"/>
                <w:numId w:val="0"/>
              </w:numPr>
              <w:bidi w:val="0"/>
              <w:spacing w:line="360" w:lineRule="auto"/>
              <w:jc w:val="left"/>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drawing>
                <wp:inline distT="0" distB="0" distL="114300" distR="114300">
                  <wp:extent cx="5252085" cy="3145790"/>
                  <wp:effectExtent l="0" t="0" r="0" b="16510"/>
                  <wp:docPr id="275" name="图片 27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图片1"/>
                          <pic:cNvPicPr>
                            <a:picLocks noChangeAspect="1"/>
                          </pic:cNvPicPr>
                        </pic:nvPicPr>
                        <pic:blipFill>
                          <a:blip r:embed="rId10"/>
                          <a:stretch>
                            <a:fillRect/>
                          </a:stretch>
                        </pic:blipFill>
                        <pic:spPr>
                          <a:xfrm>
                            <a:off x="0" y="0"/>
                            <a:ext cx="5252085" cy="3145790"/>
                          </a:xfrm>
                          <a:prstGeom prst="rect">
                            <a:avLst/>
                          </a:prstGeom>
                        </pic:spPr>
                      </pic:pic>
                    </a:graphicData>
                  </a:graphic>
                </wp:inline>
              </w:drawing>
            </w:r>
          </w:p>
          <w:p w14:paraId="2B945923">
            <w:pPr>
              <w:ind w:firstLine="420"/>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2.蓄电池</w:t>
            </w:r>
            <w:r>
              <w:rPr>
                <w:rFonts w:hint="eastAsia" w:ascii="宋体" w:hAnsi="宋体" w:eastAsia="宋体" w:cs="宋体"/>
                <w:color w:val="auto"/>
                <w:sz w:val="21"/>
                <w:szCs w:val="21"/>
              </w:rPr>
              <w:t>模组的连接</w:t>
            </w:r>
          </w:p>
          <w:p w14:paraId="58DEB94F">
            <w:pPr>
              <w:ind w:firstLine="420"/>
              <w:rPr>
                <w:rFonts w:hint="eastAsia" w:ascii="宋体" w:hAnsi="宋体" w:eastAsia="宋体" w:cs="宋体"/>
                <w:color w:val="auto"/>
                <w:sz w:val="21"/>
                <w:szCs w:val="21"/>
              </w:rPr>
            </w:pPr>
            <w:r>
              <w:rPr>
                <w:rFonts w:hint="eastAsia" w:ascii="宋体" w:hAnsi="宋体" w:eastAsia="宋体" w:cs="宋体"/>
                <w:color w:val="auto"/>
                <w:sz w:val="21"/>
                <w:szCs w:val="21"/>
              </w:rPr>
              <w:t>若干个</w:t>
            </w:r>
            <w:r>
              <w:rPr>
                <w:rFonts w:hint="eastAsia" w:ascii="宋体" w:hAnsi="宋体" w:eastAsia="宋体" w:cs="宋体"/>
                <w:color w:val="auto"/>
                <w:sz w:val="21"/>
                <w:szCs w:val="21"/>
                <w:lang w:eastAsia="zh-CN"/>
              </w:rPr>
              <w:t>单体蓄电池</w:t>
            </w:r>
            <w:r>
              <w:rPr>
                <w:rFonts w:hint="eastAsia" w:ascii="宋体" w:hAnsi="宋体" w:eastAsia="宋体" w:cs="宋体"/>
                <w:color w:val="auto"/>
                <w:sz w:val="21"/>
                <w:szCs w:val="21"/>
              </w:rPr>
              <w:t>先用电路相连成储能单元，称为</w:t>
            </w:r>
            <w:r>
              <w:rPr>
                <w:rFonts w:hint="eastAsia" w:ascii="宋体" w:hAnsi="宋体" w:eastAsia="宋体" w:cs="宋体"/>
                <w:color w:val="auto"/>
                <w:sz w:val="21"/>
                <w:szCs w:val="21"/>
                <w:lang w:val="en-US" w:eastAsia="zh-CN"/>
              </w:rPr>
              <w:t>蓄电池</w:t>
            </w:r>
            <w:r>
              <w:rPr>
                <w:rFonts w:hint="eastAsia" w:ascii="宋体" w:hAnsi="宋体" w:eastAsia="宋体" w:cs="宋体"/>
                <w:color w:val="auto"/>
                <w:sz w:val="21"/>
                <w:szCs w:val="21"/>
              </w:rPr>
              <w:t>模组，若干</w:t>
            </w:r>
            <w:r>
              <w:rPr>
                <w:rFonts w:hint="eastAsia" w:ascii="宋体" w:hAnsi="宋体" w:eastAsia="宋体" w:cs="宋体"/>
                <w:color w:val="auto"/>
                <w:sz w:val="21"/>
                <w:szCs w:val="21"/>
                <w:lang w:val="en-US" w:eastAsia="zh-CN"/>
              </w:rPr>
              <w:t>蓄电池</w:t>
            </w:r>
            <w:r>
              <w:rPr>
                <w:rFonts w:hint="eastAsia" w:ascii="宋体" w:hAnsi="宋体" w:eastAsia="宋体" w:cs="宋体"/>
                <w:color w:val="auto"/>
                <w:sz w:val="21"/>
                <w:szCs w:val="21"/>
              </w:rPr>
              <w:t>模组再串联形成</w:t>
            </w:r>
            <w:r>
              <w:rPr>
                <w:rFonts w:hint="eastAsia" w:ascii="宋体" w:hAnsi="宋体" w:eastAsia="宋体" w:cs="宋体"/>
                <w:color w:val="auto"/>
                <w:sz w:val="21"/>
                <w:szCs w:val="21"/>
                <w:lang w:eastAsia="zh-CN"/>
              </w:rPr>
              <w:t>动力蓄电池</w:t>
            </w:r>
            <w:r>
              <w:rPr>
                <w:rFonts w:hint="eastAsia" w:ascii="宋体" w:hAnsi="宋体" w:eastAsia="宋体" w:cs="宋体"/>
                <w:color w:val="auto"/>
                <w:sz w:val="21"/>
                <w:szCs w:val="21"/>
              </w:rPr>
              <w:t>。</w:t>
            </w:r>
          </w:p>
          <w:p w14:paraId="0B6F1F21">
            <w:pPr>
              <w:numPr>
                <w:ilvl w:val="0"/>
                <w:numId w:val="0"/>
              </w:numPr>
              <w:bidi w:val="0"/>
              <w:spacing w:line="360" w:lineRule="auto"/>
              <w:jc w:val="left"/>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以秦EV HDE400km</w:t>
            </w:r>
          </w:p>
          <w:p w14:paraId="2F20BD77">
            <w:pPr>
              <w:numPr>
                <w:ilvl w:val="0"/>
                <w:numId w:val="0"/>
              </w:numPr>
              <w:bidi w:val="0"/>
              <w:spacing w:line="360" w:lineRule="auto"/>
              <w:jc w:val="left"/>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4277360" cy="2633980"/>
                  <wp:effectExtent l="0" t="0" r="8890" b="13970"/>
                  <wp:docPr id="266"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1" descr="IMG_256"/>
                          <pic:cNvPicPr>
                            <a:picLocks noChangeAspect="1"/>
                          </pic:cNvPicPr>
                        </pic:nvPicPr>
                        <pic:blipFill>
                          <a:blip r:embed="rId11"/>
                          <a:srcRect t="7591"/>
                          <a:stretch>
                            <a:fillRect/>
                          </a:stretch>
                        </pic:blipFill>
                        <pic:spPr>
                          <a:xfrm>
                            <a:off x="0" y="0"/>
                            <a:ext cx="4277360" cy="2633980"/>
                          </a:xfrm>
                          <a:prstGeom prst="rect">
                            <a:avLst/>
                          </a:prstGeom>
                          <a:noFill/>
                          <a:ln w="9525">
                            <a:noFill/>
                          </a:ln>
                        </pic:spPr>
                      </pic:pic>
                    </a:graphicData>
                  </a:graphic>
                </wp:inline>
              </w:drawing>
            </w:r>
          </w:p>
          <w:p w14:paraId="12FB613D">
            <w:pPr>
              <w:numPr>
                <w:ilvl w:val="0"/>
                <w:numId w:val="1"/>
              </w:numPr>
              <w:bidi w:val="0"/>
              <w:spacing w:line="360" w:lineRule="auto"/>
              <w:ind w:left="0" w:leftChars="0" w:firstLine="0" w:firstLine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刀片电池</w:t>
            </w:r>
          </w:p>
          <w:p w14:paraId="310F7551">
            <w:pPr>
              <w:numPr>
                <w:ilvl w:val="0"/>
                <w:numId w:val="0"/>
              </w:numPr>
              <w:bidi w:val="0"/>
              <w:spacing w:line="360" w:lineRule="auto"/>
              <w:ind w:leftChars="0"/>
              <w:jc w:val="left"/>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3018155" cy="2650490"/>
                  <wp:effectExtent l="0" t="0" r="10795" b="16510"/>
                  <wp:docPr id="268"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13" descr="IMG_256"/>
                          <pic:cNvPicPr>
                            <a:picLocks noChangeAspect="1"/>
                          </pic:cNvPicPr>
                        </pic:nvPicPr>
                        <pic:blipFill>
                          <a:blip r:embed="rId12"/>
                          <a:srcRect l="4288" t="9615" r="5931" b="11541"/>
                          <a:stretch>
                            <a:fillRect/>
                          </a:stretch>
                        </pic:blipFill>
                        <pic:spPr>
                          <a:xfrm>
                            <a:off x="0" y="0"/>
                            <a:ext cx="3018155" cy="2650490"/>
                          </a:xfrm>
                          <a:prstGeom prst="rect">
                            <a:avLst/>
                          </a:prstGeom>
                          <a:noFill/>
                          <a:ln w="9525">
                            <a:noFill/>
                          </a:ln>
                        </pic:spPr>
                      </pic:pic>
                    </a:graphicData>
                  </a:graphic>
                </wp:inline>
              </w:drawing>
            </w:r>
          </w:p>
          <w:p w14:paraId="3525E90F">
            <w:pPr>
              <w:numPr>
                <w:ilvl w:val="0"/>
                <w:numId w:val="0"/>
              </w:numPr>
              <w:bidi w:val="0"/>
              <w:spacing w:line="360" w:lineRule="auto"/>
              <w:ind w:left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任务实施：</w:t>
            </w:r>
          </w:p>
          <w:p w14:paraId="676EC9E1">
            <w:pPr>
              <w:numPr>
                <w:ilvl w:val="0"/>
                <w:numId w:val="0"/>
              </w:numPr>
              <w:bidi w:val="0"/>
              <w:spacing w:line="360" w:lineRule="auto"/>
              <w:ind w:left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实施电动汽车高压维修时，一定要遵守电动汽车维修的高压防护规范，设置车辆标识和安全工作区、按要求佩戴高压防护用具、严格遵守高压操作流程。</w:t>
            </w:r>
          </w:p>
          <w:p w14:paraId="557E7FFC">
            <w:pPr>
              <w:pStyle w:val="4"/>
              <w:numPr>
                <w:ilvl w:val="0"/>
                <w:numId w:val="3"/>
              </w:numPr>
              <w:bidi w:val="0"/>
              <w:rPr>
                <w:rFonts w:hint="eastAsia" w:ascii="宋体" w:hAnsi="宋体" w:eastAsia="宋体" w:cs="宋体"/>
                <w:b w:val="0"/>
                <w:bCs/>
                <w:sz w:val="21"/>
                <w:szCs w:val="21"/>
              </w:rPr>
            </w:pPr>
            <w:r>
              <w:rPr>
                <w:rFonts w:hint="eastAsia" w:ascii="宋体" w:hAnsi="宋体" w:eastAsia="宋体" w:cs="宋体"/>
                <w:b w:val="0"/>
                <w:bCs/>
                <w:sz w:val="21"/>
                <w:szCs w:val="21"/>
              </w:rPr>
              <w:t>使用诊断仪检测</w:t>
            </w:r>
            <w:r>
              <w:rPr>
                <w:rFonts w:hint="eastAsia" w:ascii="宋体" w:hAnsi="宋体" w:eastAsia="宋体" w:cs="宋体"/>
                <w:b w:val="0"/>
                <w:bCs/>
                <w:sz w:val="21"/>
                <w:szCs w:val="21"/>
                <w:lang w:val="en-US" w:eastAsia="zh-CN"/>
              </w:rPr>
              <w:t>蓄电池</w:t>
            </w:r>
            <w:r>
              <w:rPr>
                <w:rFonts w:hint="eastAsia" w:ascii="宋体" w:hAnsi="宋体" w:eastAsia="宋体" w:cs="宋体"/>
                <w:b w:val="0"/>
                <w:bCs/>
                <w:sz w:val="21"/>
                <w:szCs w:val="21"/>
              </w:rPr>
              <w:t>电压</w:t>
            </w:r>
          </w:p>
          <w:p w14:paraId="5ACED8CB">
            <w:pPr>
              <w:bidi w:val="0"/>
              <w:rPr>
                <w:rFonts w:hint="eastAsia" w:ascii="宋体" w:hAnsi="宋体" w:eastAsia="宋体" w:cs="宋体"/>
                <w:sz w:val="21"/>
                <w:szCs w:val="21"/>
              </w:rPr>
            </w:pPr>
            <w:r>
              <w:rPr>
                <w:rFonts w:hint="eastAsia" w:ascii="宋体" w:hAnsi="宋体" w:eastAsia="宋体" w:cs="宋体"/>
                <w:sz w:val="21"/>
                <w:szCs w:val="21"/>
              </w:rPr>
              <w:t>使用诊断仪检测电池包的步骤可能因诊断仪的型号、品牌以及所检测电池包的类型而有所不同。以下是一个基于通用流程的检测步骤：</w:t>
            </w:r>
          </w:p>
          <w:p w14:paraId="6EBEC27D">
            <w:pPr>
              <w:bidi w:val="0"/>
              <w:rPr>
                <w:rFonts w:hint="eastAsia" w:ascii="宋体" w:hAnsi="宋体" w:eastAsia="宋体" w:cs="宋体"/>
                <w:sz w:val="21"/>
                <w:szCs w:val="21"/>
              </w:rPr>
            </w:pPr>
            <w:r>
              <w:rPr>
                <w:rFonts w:hint="eastAsia" w:ascii="宋体" w:hAnsi="宋体" w:eastAsia="宋体" w:cs="宋体"/>
                <w:sz w:val="21"/>
                <w:szCs w:val="21"/>
                <w:lang w:val="en-US" w:eastAsia="zh-CN"/>
              </w:rPr>
              <w:t>1.</w:t>
            </w:r>
            <w:r>
              <w:rPr>
                <w:rFonts w:hint="eastAsia" w:ascii="宋体" w:hAnsi="宋体" w:eastAsia="宋体" w:cs="宋体"/>
                <w:sz w:val="21"/>
                <w:szCs w:val="21"/>
              </w:rPr>
              <w:t>准备工作</w:t>
            </w:r>
          </w:p>
          <w:p w14:paraId="30D3BD74">
            <w:pPr>
              <w:bidi w:val="0"/>
              <w:rPr>
                <w:rFonts w:hint="eastAsia" w:ascii="宋体" w:hAnsi="宋体" w:eastAsia="宋体" w:cs="宋体"/>
                <w:sz w:val="21"/>
                <w:szCs w:val="21"/>
              </w:rPr>
            </w:pPr>
            <w:r>
              <w:rPr>
                <w:rFonts w:hint="eastAsia" w:ascii="宋体" w:hAnsi="宋体" w:eastAsia="宋体" w:cs="宋体"/>
                <w:sz w:val="21"/>
                <w:szCs w:val="21"/>
                <w:lang w:val="en-US" w:eastAsia="zh-CN"/>
              </w:rPr>
              <w:t>2.</w:t>
            </w:r>
            <w:r>
              <w:rPr>
                <w:rFonts w:hint="eastAsia" w:ascii="宋体" w:hAnsi="宋体" w:eastAsia="宋体" w:cs="宋体"/>
                <w:sz w:val="21"/>
                <w:szCs w:val="21"/>
              </w:rPr>
              <w:t>设备安装与调试</w:t>
            </w:r>
          </w:p>
          <w:p w14:paraId="2AEEAC5F">
            <w:pPr>
              <w:numPr>
                <w:ilvl w:val="0"/>
                <w:numId w:val="0"/>
              </w:numPr>
              <w:bidi w:val="0"/>
              <w:spacing w:line="360" w:lineRule="auto"/>
              <w:ind w:leftChars="0"/>
              <w:jc w:val="left"/>
              <w:rPr>
                <w:rFonts w:hint="eastAsia" w:ascii="宋体" w:hAnsi="宋体" w:eastAsia="宋体" w:cs="宋体"/>
                <w:sz w:val="21"/>
                <w:szCs w:val="21"/>
              </w:rPr>
            </w:pPr>
            <w:r>
              <w:rPr>
                <w:rFonts w:hint="eastAsia" w:ascii="宋体" w:hAnsi="宋体" w:eastAsia="宋体" w:cs="宋体"/>
                <w:sz w:val="21"/>
                <w:szCs w:val="21"/>
                <w:lang w:val="en-US" w:eastAsia="zh-CN"/>
              </w:rPr>
              <w:t>3.</w:t>
            </w:r>
            <w:r>
              <w:rPr>
                <w:rFonts w:hint="eastAsia" w:ascii="宋体" w:hAnsi="宋体" w:eastAsia="宋体" w:cs="宋体"/>
                <w:sz w:val="21"/>
                <w:szCs w:val="21"/>
              </w:rPr>
              <w:t>检测步骤</w:t>
            </w:r>
          </w:p>
          <w:p w14:paraId="654FD0A0">
            <w:pPr>
              <w:numPr>
                <w:ilvl w:val="0"/>
                <w:numId w:val="0"/>
              </w:numPr>
              <w:bidi w:val="0"/>
              <w:spacing w:line="360" w:lineRule="auto"/>
              <w:ind w:leftChars="0"/>
              <w:jc w:val="left"/>
              <w:rPr>
                <w:rFonts w:hint="eastAsia" w:ascii="宋体" w:hAnsi="宋体" w:eastAsia="宋体" w:cs="宋体"/>
                <w:color w:val="000000" w:themeColor="text1"/>
                <w:sz w:val="21"/>
                <w:szCs w:val="21"/>
                <w:lang w:val="en-US"/>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4199890" cy="2631440"/>
                  <wp:effectExtent l="0" t="0" r="10160" b="16510"/>
                  <wp:docPr id="27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15"/>
                          <pic:cNvPicPr>
                            <a:picLocks noChangeAspect="1"/>
                          </pic:cNvPicPr>
                        </pic:nvPicPr>
                        <pic:blipFill>
                          <a:blip r:embed="rId13"/>
                          <a:stretch>
                            <a:fillRect/>
                          </a:stretch>
                        </pic:blipFill>
                        <pic:spPr>
                          <a:xfrm>
                            <a:off x="0" y="0"/>
                            <a:ext cx="4199890" cy="2631440"/>
                          </a:xfrm>
                          <a:prstGeom prst="rect">
                            <a:avLst/>
                          </a:prstGeom>
                          <a:noFill/>
                          <a:ln>
                            <a:noFill/>
                          </a:ln>
                        </pic:spPr>
                      </pic:pic>
                    </a:graphicData>
                  </a:graphic>
                </wp:inline>
              </w:drawing>
            </w:r>
          </w:p>
          <w:p w14:paraId="157C2277">
            <w:pPr>
              <w:numPr>
                <w:ilvl w:val="0"/>
                <w:numId w:val="0"/>
              </w:numPr>
              <w:bidi w:val="0"/>
              <w:spacing w:line="360" w:lineRule="auto"/>
              <w:ind w:leftChars="0"/>
              <w:jc w:val="left"/>
              <w:rPr>
                <w:rFonts w:hint="eastAsia" w:ascii="宋体" w:hAnsi="宋体" w:eastAsia="宋体" w:cs="宋体"/>
                <w:color w:val="000000" w:themeColor="text1"/>
                <w:sz w:val="21"/>
                <w:szCs w:val="21"/>
                <w:lang w:val="en-US"/>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3772535" cy="2340610"/>
                  <wp:effectExtent l="0" t="0" r="18415" b="2540"/>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14"/>
                          <a:stretch>
                            <a:fillRect/>
                          </a:stretch>
                        </pic:blipFill>
                        <pic:spPr>
                          <a:xfrm>
                            <a:off x="0" y="0"/>
                            <a:ext cx="3772535" cy="2340610"/>
                          </a:xfrm>
                          <a:prstGeom prst="rect">
                            <a:avLst/>
                          </a:prstGeom>
                          <a:noFill/>
                          <a:ln>
                            <a:noFill/>
                          </a:ln>
                        </pic:spPr>
                      </pic:pic>
                    </a:graphicData>
                  </a:graphic>
                </wp:inline>
              </w:drawing>
            </w:r>
          </w:p>
          <w:p w14:paraId="714C36CB">
            <w:pPr>
              <w:numPr>
                <w:ilvl w:val="0"/>
                <w:numId w:val="0"/>
              </w:numPr>
              <w:bidi w:val="0"/>
              <w:spacing w:line="360" w:lineRule="auto"/>
              <w:ind w:leftChars="0"/>
              <w:jc w:val="left"/>
              <w:rPr>
                <w:rFonts w:hint="eastAsia" w:ascii="宋体" w:hAnsi="宋体" w:eastAsia="宋体" w:cs="宋体"/>
                <w:color w:val="000000" w:themeColor="text1"/>
                <w:sz w:val="21"/>
                <w:szCs w:val="21"/>
                <w:lang w:val="en-US"/>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3861435" cy="2476500"/>
                  <wp:effectExtent l="0" t="0" r="5715" b="0"/>
                  <wp:docPr id="2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15"/>
                          <a:stretch>
                            <a:fillRect/>
                          </a:stretch>
                        </pic:blipFill>
                        <pic:spPr>
                          <a:xfrm>
                            <a:off x="0" y="0"/>
                            <a:ext cx="3861435" cy="2476500"/>
                          </a:xfrm>
                          <a:prstGeom prst="rect">
                            <a:avLst/>
                          </a:prstGeom>
                          <a:noFill/>
                          <a:ln>
                            <a:noFill/>
                          </a:ln>
                        </pic:spPr>
                      </pic:pic>
                    </a:graphicData>
                  </a:graphic>
                </wp:inline>
              </w:drawing>
            </w:r>
          </w:p>
          <w:p w14:paraId="326C2505">
            <w:pPr>
              <w:numPr>
                <w:ilvl w:val="0"/>
                <w:numId w:val="3"/>
              </w:numPr>
              <w:bidi w:val="0"/>
              <w:spacing w:line="360" w:lineRule="auto"/>
              <w:ind w:left="0" w:leftChars="0" w:firstLine="0" w:firstLine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使用万用表检测电压</w:t>
            </w:r>
          </w:p>
          <w:p w14:paraId="68C0FDDE">
            <w:pPr>
              <w:numPr>
                <w:ilvl w:val="0"/>
                <w:numId w:val="0"/>
              </w:numPr>
              <w:bidi w:val="0"/>
              <w:spacing w:line="360" w:lineRule="auto"/>
              <w:ind w:leftChars="0"/>
              <w:jc w:val="left"/>
              <w:rPr>
                <w:rFonts w:hint="eastAsia" w:ascii="宋体" w:hAnsi="宋体" w:eastAsia="宋体" w:cs="宋体"/>
                <w:color w:val="000000" w:themeColor="text1"/>
                <w:sz w:val="21"/>
                <w:szCs w:val="21"/>
                <w:lang w:val="en-US"/>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3054985" cy="2351405"/>
                  <wp:effectExtent l="0" t="0" r="12065" b="10795"/>
                  <wp:docPr id="2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pic:cNvPicPr>
                            <a:picLocks noChangeAspect="1"/>
                          </pic:cNvPicPr>
                        </pic:nvPicPr>
                        <pic:blipFill>
                          <a:blip r:embed="rId16"/>
                          <a:srcRect l="14170"/>
                          <a:stretch>
                            <a:fillRect/>
                          </a:stretch>
                        </pic:blipFill>
                        <pic:spPr>
                          <a:xfrm>
                            <a:off x="0" y="0"/>
                            <a:ext cx="3054985" cy="2351405"/>
                          </a:xfrm>
                          <a:prstGeom prst="rect">
                            <a:avLst/>
                          </a:prstGeom>
                          <a:noFill/>
                          <a:ln>
                            <a:noFill/>
                          </a:ln>
                        </pic:spPr>
                      </pic:pic>
                    </a:graphicData>
                  </a:graphic>
                </wp:inline>
              </w:drawing>
            </w:r>
          </w:p>
          <w:p w14:paraId="3CA6BA7A">
            <w:pPr>
              <w:numPr>
                <w:ilvl w:val="0"/>
                <w:numId w:val="0"/>
              </w:numPr>
              <w:bidi w:val="0"/>
              <w:spacing w:line="360" w:lineRule="auto"/>
              <w:ind w:leftChars="0"/>
              <w:jc w:val="left"/>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单体电池电压测量</w:t>
            </w:r>
          </w:p>
          <w:p w14:paraId="034ECD3E">
            <w:pPr>
              <w:numPr>
                <w:ilvl w:val="0"/>
                <w:numId w:val="0"/>
              </w:numPr>
              <w:bidi w:val="0"/>
              <w:spacing w:line="360" w:lineRule="auto"/>
              <w:ind w:leftChars="0"/>
              <w:jc w:val="left"/>
              <w:rPr>
                <w:rFonts w:hint="eastAsia" w:ascii="宋体" w:hAnsi="宋体" w:eastAsia="宋体" w:cs="宋体"/>
                <w:color w:val="000000" w:themeColor="text1"/>
                <w:sz w:val="21"/>
                <w:szCs w:val="21"/>
                <w:lang w:val="en-US"/>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3361690" cy="2109470"/>
                  <wp:effectExtent l="0" t="0" r="10160" b="5080"/>
                  <wp:docPr id="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pic:cNvPicPr>
                            <a:picLocks noChangeAspect="1"/>
                          </pic:cNvPicPr>
                        </pic:nvPicPr>
                        <pic:blipFill>
                          <a:blip r:embed="rId17"/>
                          <a:stretch>
                            <a:fillRect/>
                          </a:stretch>
                        </pic:blipFill>
                        <pic:spPr>
                          <a:xfrm>
                            <a:off x="0" y="0"/>
                            <a:ext cx="3361690" cy="2109470"/>
                          </a:xfrm>
                          <a:prstGeom prst="rect">
                            <a:avLst/>
                          </a:prstGeom>
                          <a:noFill/>
                          <a:ln>
                            <a:noFill/>
                          </a:ln>
                        </pic:spPr>
                      </pic:pic>
                    </a:graphicData>
                  </a:graphic>
                </wp:inline>
              </w:drawing>
            </w:r>
          </w:p>
          <w:p w14:paraId="70B8BBA4">
            <w:pPr>
              <w:numPr>
                <w:ilvl w:val="0"/>
                <w:numId w:val="0"/>
              </w:numPr>
              <w:bidi w:val="0"/>
              <w:spacing w:line="360" w:lineRule="auto"/>
              <w:ind w:leftChars="0"/>
              <w:jc w:val="left"/>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电池模组电压测量</w:t>
            </w:r>
          </w:p>
          <w:p w14:paraId="688C92F5">
            <w:pPr>
              <w:numPr>
                <w:ilvl w:val="0"/>
                <w:numId w:val="0"/>
              </w:numPr>
              <w:bidi w:val="0"/>
              <w:spacing w:line="360" w:lineRule="auto"/>
              <w:ind w:leftChars="0"/>
              <w:jc w:val="left"/>
              <w:rPr>
                <w:rFonts w:hint="eastAsia" w:ascii="宋体" w:hAnsi="宋体" w:eastAsia="宋体" w:cs="宋体"/>
                <w:color w:val="000000" w:themeColor="text1"/>
                <w:sz w:val="21"/>
                <w:szCs w:val="21"/>
                <w:lang w:val="en-US"/>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3322955" cy="3268980"/>
                  <wp:effectExtent l="0" t="0" r="10795" b="7620"/>
                  <wp:docPr id="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pic:cNvPicPr>
                            <a:picLocks noChangeAspect="1"/>
                          </pic:cNvPicPr>
                        </pic:nvPicPr>
                        <pic:blipFill>
                          <a:blip r:embed="rId18"/>
                          <a:stretch>
                            <a:fillRect/>
                          </a:stretch>
                        </pic:blipFill>
                        <pic:spPr>
                          <a:xfrm>
                            <a:off x="0" y="0"/>
                            <a:ext cx="3322955" cy="3268980"/>
                          </a:xfrm>
                          <a:prstGeom prst="rect">
                            <a:avLst/>
                          </a:prstGeom>
                          <a:noFill/>
                          <a:ln>
                            <a:noFill/>
                          </a:ln>
                        </pic:spPr>
                      </pic:pic>
                    </a:graphicData>
                  </a:graphic>
                </wp:inline>
              </w:drawing>
            </w:r>
          </w:p>
          <w:p w14:paraId="55144029">
            <w:pPr>
              <w:numPr>
                <w:ilvl w:val="0"/>
                <w:numId w:val="0"/>
              </w:numPr>
              <w:bidi w:val="0"/>
              <w:spacing w:line="360" w:lineRule="auto"/>
              <w:ind w:leftChars="0"/>
              <w:jc w:val="left"/>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总电压测量</w:t>
            </w:r>
          </w:p>
        </w:tc>
      </w:tr>
      <w:tr w14:paraId="65631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1AFB5728">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3.课后拓展</w:t>
            </w:r>
          </w:p>
          <w:p w14:paraId="753A8A8A">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（1）学员的课后体会</w:t>
            </w:r>
          </w:p>
          <w:p w14:paraId="4E3B8EAE">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（2）课后练习题</w:t>
            </w:r>
          </w:p>
          <w:p w14:paraId="460091CD">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（3）预习新课程</w:t>
            </w:r>
          </w:p>
        </w:tc>
      </w:tr>
    </w:tbl>
    <w:p w14:paraId="25965FAE">
      <w:pPr>
        <w:bidi w:val="0"/>
        <w:rPr>
          <w:rFonts w:hint="eastAsia"/>
        </w:rPr>
      </w:pPr>
    </w:p>
    <w:p w14:paraId="2B109FC8">
      <w:pPr>
        <w:pStyle w:val="3"/>
        <w:bidi w:val="0"/>
        <w:rPr>
          <w:rFonts w:hint="default" w:eastAsia="微软雅黑"/>
          <w:lang w:val="en-US" w:eastAsia="zh-CN"/>
        </w:rPr>
      </w:pPr>
      <w:r>
        <w:rPr>
          <w:rFonts w:hint="eastAsia"/>
        </w:rPr>
        <w:t>任务</w:t>
      </w:r>
      <w:r>
        <w:rPr>
          <w:rFonts w:hint="eastAsia"/>
          <w:lang w:val="en-US" w:eastAsia="zh-CN"/>
        </w:rPr>
        <w:t>二</w:t>
      </w:r>
      <w:r>
        <w:rPr>
          <w:rFonts w:hint="eastAsia"/>
        </w:rPr>
        <w:t xml:space="preserve"> </w:t>
      </w:r>
      <w:r>
        <w:rPr>
          <w:rFonts w:hint="eastAsia"/>
          <w:spacing w:val="2"/>
          <w:lang w:val="en-US" w:eastAsia="zh-CN"/>
        </w:rPr>
        <w:t>单体电池的检测</w:t>
      </w:r>
    </w:p>
    <w:tbl>
      <w:tblPr>
        <w:tblStyle w:val="9"/>
        <w:tblW w:w="500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27"/>
        <w:gridCol w:w="1505"/>
        <w:gridCol w:w="1397"/>
        <w:gridCol w:w="1255"/>
        <w:gridCol w:w="378"/>
        <w:gridCol w:w="2866"/>
      </w:tblGrid>
      <w:tr w14:paraId="37315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0" w:type="pct"/>
            <w:shd w:val="clear" w:color="auto" w:fill="auto"/>
            <w:vAlign w:val="center"/>
          </w:tcPr>
          <w:p w14:paraId="06F1A90B">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授课课程</w:t>
            </w:r>
          </w:p>
        </w:tc>
        <w:tc>
          <w:tcPr>
            <w:tcW w:w="1701" w:type="pct"/>
            <w:gridSpan w:val="2"/>
            <w:shd w:val="clear" w:color="auto" w:fill="auto"/>
            <w:vAlign w:val="center"/>
          </w:tcPr>
          <w:p w14:paraId="0ED99BB9">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新能源汽车动力电池及管理系统检修</w:t>
            </w:r>
          </w:p>
        </w:tc>
        <w:tc>
          <w:tcPr>
            <w:tcW w:w="735" w:type="pct"/>
            <w:shd w:val="clear" w:color="auto" w:fill="auto"/>
            <w:vAlign w:val="center"/>
          </w:tcPr>
          <w:p w14:paraId="00E420E2">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建议</w:t>
            </w:r>
            <w:r>
              <w:rPr>
                <w:rFonts w:hint="eastAsia" w:ascii="宋体" w:hAnsi="宋体" w:eastAsia="宋体" w:cs="宋体"/>
                <w:color w:val="000000" w:themeColor="text1"/>
                <w:sz w:val="21"/>
                <w:szCs w:val="21"/>
                <w14:textFill>
                  <w14:solidFill>
                    <w14:schemeClr w14:val="tx1"/>
                  </w14:solidFill>
                </w14:textFill>
              </w:rPr>
              <w:t>课时</w:t>
            </w:r>
          </w:p>
        </w:tc>
        <w:tc>
          <w:tcPr>
            <w:tcW w:w="1901" w:type="pct"/>
            <w:gridSpan w:val="2"/>
            <w:shd w:val="clear" w:color="auto" w:fill="auto"/>
            <w:vAlign w:val="center"/>
          </w:tcPr>
          <w:p w14:paraId="2146E39B">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8</w:t>
            </w:r>
            <w:r>
              <w:rPr>
                <w:rFonts w:hint="eastAsia" w:ascii="宋体" w:hAnsi="宋体" w:eastAsia="宋体" w:cs="宋体"/>
                <w:color w:val="000000" w:themeColor="text1"/>
                <w:sz w:val="21"/>
                <w:szCs w:val="21"/>
                <w14:textFill>
                  <w14:solidFill>
                    <w14:schemeClr w14:val="tx1"/>
                  </w14:solidFill>
                </w14:textFill>
              </w:rPr>
              <w:t>课时</w:t>
            </w:r>
          </w:p>
        </w:tc>
      </w:tr>
      <w:tr w14:paraId="0B38D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0" w:type="pct"/>
            <w:shd w:val="clear" w:color="auto" w:fill="auto"/>
            <w:vAlign w:val="center"/>
          </w:tcPr>
          <w:p w14:paraId="3EB2ED57">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授课内容</w:t>
            </w:r>
          </w:p>
        </w:tc>
        <w:tc>
          <w:tcPr>
            <w:tcW w:w="1701" w:type="pct"/>
            <w:gridSpan w:val="2"/>
            <w:shd w:val="clear" w:color="auto" w:fill="auto"/>
            <w:vAlign w:val="center"/>
          </w:tcPr>
          <w:p w14:paraId="78FB5414">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任务</w:t>
            </w:r>
            <w:r>
              <w:rPr>
                <w:rFonts w:hint="eastAsia" w:ascii="宋体" w:hAnsi="宋体" w:eastAsia="宋体" w:cs="宋体"/>
                <w:color w:val="000000" w:themeColor="text1"/>
                <w:sz w:val="21"/>
                <w:szCs w:val="21"/>
                <w:lang w:val="en-US" w:eastAsia="zh-CN"/>
                <w14:textFill>
                  <w14:solidFill>
                    <w14:schemeClr w14:val="tx1"/>
                  </w14:solidFill>
                </w14:textFill>
              </w:rPr>
              <w:t>二 单体电池的检测</w:t>
            </w:r>
          </w:p>
        </w:tc>
        <w:tc>
          <w:tcPr>
            <w:tcW w:w="735" w:type="pct"/>
            <w:shd w:val="clear" w:color="auto" w:fill="auto"/>
            <w:vAlign w:val="center"/>
          </w:tcPr>
          <w:p w14:paraId="27196A16">
            <w:pPr>
              <w:bidi w:val="0"/>
              <w:spacing w:line="360" w:lineRule="auto"/>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w:t>
            </w:r>
            <w:r>
              <w:rPr>
                <w:rFonts w:hint="eastAsia" w:ascii="宋体" w:hAnsi="宋体" w:eastAsia="宋体" w:cs="宋体"/>
                <w:color w:val="000000" w:themeColor="text1"/>
                <w:sz w:val="21"/>
                <w:szCs w:val="21"/>
                <w:lang w:val="en-US" w:eastAsia="zh-CN"/>
                <w14:textFill>
                  <w14:solidFill>
                    <w14:schemeClr w14:val="tx1"/>
                  </w14:solidFill>
                </w14:textFill>
              </w:rPr>
              <w:t>对象</w:t>
            </w:r>
          </w:p>
        </w:tc>
        <w:tc>
          <w:tcPr>
            <w:tcW w:w="1901" w:type="pct"/>
            <w:gridSpan w:val="2"/>
            <w:shd w:val="clear" w:color="auto" w:fill="auto"/>
            <w:vAlign w:val="center"/>
          </w:tcPr>
          <w:p w14:paraId="2E3C416E">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新能源汽车</w:t>
            </w:r>
            <w:r>
              <w:rPr>
                <w:rFonts w:hint="eastAsia" w:ascii="宋体" w:hAnsi="宋体" w:eastAsia="宋体" w:cs="宋体"/>
                <w:sz w:val="21"/>
                <w:szCs w:val="21"/>
                <w:lang w:val="en-US" w:eastAsia="zh-CN"/>
              </w:rPr>
              <w:t>运用与维修</w:t>
            </w:r>
            <w:r>
              <w:rPr>
                <w:rFonts w:hint="eastAsia" w:ascii="宋体" w:hAnsi="宋体" w:eastAsia="宋体" w:cs="宋体"/>
                <w:color w:val="000000" w:themeColor="text1"/>
                <w:sz w:val="21"/>
                <w:szCs w:val="21"/>
                <w:lang w:val="en-US" w:eastAsia="zh-CN"/>
                <w14:textFill>
                  <w14:solidFill>
                    <w14:schemeClr w14:val="tx1"/>
                  </w14:solidFill>
                </w14:textFill>
              </w:rPr>
              <w:t>班级</w:t>
            </w:r>
          </w:p>
        </w:tc>
      </w:tr>
      <w:tr w14:paraId="240D9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0" w:type="pct"/>
            <w:shd w:val="clear" w:color="auto" w:fill="auto"/>
            <w:vAlign w:val="center"/>
          </w:tcPr>
          <w:p w14:paraId="6590565B">
            <w:pPr>
              <w:bidi w:val="0"/>
              <w:spacing w:line="360" w:lineRule="auto"/>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w:t>
            </w:r>
            <w:r>
              <w:rPr>
                <w:rFonts w:hint="eastAsia" w:ascii="宋体" w:hAnsi="宋体" w:eastAsia="宋体" w:cs="宋体"/>
                <w:color w:val="000000" w:themeColor="text1"/>
                <w:sz w:val="21"/>
                <w:szCs w:val="21"/>
                <w:lang w:val="en-US" w:eastAsia="zh-CN"/>
                <w14:textFill>
                  <w14:solidFill>
                    <w14:schemeClr w14:val="tx1"/>
                  </w14:solidFill>
                </w14:textFill>
              </w:rPr>
              <w:t>专业</w:t>
            </w:r>
          </w:p>
        </w:tc>
        <w:tc>
          <w:tcPr>
            <w:tcW w:w="1701" w:type="pct"/>
            <w:gridSpan w:val="2"/>
            <w:shd w:val="clear" w:color="auto" w:fill="auto"/>
            <w:vAlign w:val="center"/>
          </w:tcPr>
          <w:p w14:paraId="40C1B7AB">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sz w:val="21"/>
                <w:szCs w:val="21"/>
              </w:rPr>
              <w:t>新能源汽车</w:t>
            </w:r>
            <w:r>
              <w:rPr>
                <w:rFonts w:hint="eastAsia" w:ascii="宋体" w:hAnsi="宋体" w:eastAsia="宋体" w:cs="宋体"/>
                <w:sz w:val="21"/>
                <w:szCs w:val="21"/>
                <w:lang w:val="en-US" w:eastAsia="zh-CN"/>
              </w:rPr>
              <w:t>运用与维修</w:t>
            </w:r>
            <w:r>
              <w:rPr>
                <w:rFonts w:hint="eastAsia" w:ascii="宋体" w:hAnsi="宋体" w:eastAsia="宋体" w:cs="宋体"/>
                <w:color w:val="000000" w:themeColor="text1"/>
                <w:sz w:val="21"/>
                <w:szCs w:val="21"/>
                <w14:textFill>
                  <w14:solidFill>
                    <w14:schemeClr w14:val="tx1"/>
                  </w14:solidFill>
                </w14:textFill>
              </w:rPr>
              <w:t>专业</w:t>
            </w:r>
          </w:p>
        </w:tc>
        <w:tc>
          <w:tcPr>
            <w:tcW w:w="735" w:type="pct"/>
            <w:shd w:val="clear" w:color="auto" w:fill="auto"/>
            <w:vAlign w:val="center"/>
          </w:tcPr>
          <w:p w14:paraId="063E0547">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授课地点</w:t>
            </w:r>
          </w:p>
        </w:tc>
        <w:tc>
          <w:tcPr>
            <w:tcW w:w="1901" w:type="pct"/>
            <w:gridSpan w:val="2"/>
            <w:shd w:val="clear" w:color="auto" w:fill="auto"/>
            <w:vAlign w:val="center"/>
          </w:tcPr>
          <w:p w14:paraId="646FE473">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p>
        </w:tc>
      </w:tr>
      <w:tr w14:paraId="6BBD7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0" w:type="pct"/>
            <w:shd w:val="clear" w:color="auto" w:fill="auto"/>
            <w:vAlign w:val="center"/>
          </w:tcPr>
          <w:p w14:paraId="2859BFAC">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选用教材</w:t>
            </w:r>
          </w:p>
        </w:tc>
        <w:tc>
          <w:tcPr>
            <w:tcW w:w="4339" w:type="pct"/>
            <w:gridSpan w:val="5"/>
            <w:shd w:val="clear" w:color="auto" w:fill="auto"/>
            <w:vAlign w:val="center"/>
          </w:tcPr>
          <w:p w14:paraId="7056F002">
            <w:pPr>
              <w:bidi w:val="0"/>
              <w:spacing w:line="360" w:lineRule="auto"/>
              <w:rPr>
                <w:rFonts w:hint="eastAsia" w:ascii="宋体" w:hAnsi="宋体" w:eastAsia="宋体" w:cs="宋体"/>
                <w:color w:val="000000" w:themeColor="text1"/>
                <w:sz w:val="21"/>
                <w:szCs w:val="21"/>
                <w14:textFill>
                  <w14:solidFill>
                    <w14:schemeClr w14:val="tx1"/>
                  </w14:solidFill>
                </w14:textFill>
              </w:rPr>
            </w:pPr>
          </w:p>
        </w:tc>
      </w:tr>
      <w:tr w14:paraId="2CC8D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5000" w:type="pct"/>
            <w:gridSpan w:val="6"/>
            <w:shd w:val="clear" w:color="auto" w:fill="auto"/>
            <w:vAlign w:val="center"/>
          </w:tcPr>
          <w:p w14:paraId="385AA4E7">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教学目标</w:t>
            </w:r>
          </w:p>
        </w:tc>
      </w:tr>
      <w:tr w14:paraId="64E8B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543" w:type="pct"/>
            <w:gridSpan w:val="2"/>
            <w:shd w:val="clear" w:color="auto" w:fill="auto"/>
            <w:vAlign w:val="center"/>
          </w:tcPr>
          <w:p w14:paraId="6FA96291">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知识</w:t>
            </w:r>
            <w:r>
              <w:rPr>
                <w:rFonts w:hint="eastAsia" w:ascii="宋体" w:hAnsi="宋体" w:eastAsia="宋体" w:cs="宋体"/>
                <w:color w:val="000000" w:themeColor="text1"/>
                <w:sz w:val="21"/>
                <w:szCs w:val="21"/>
                <w14:textFill>
                  <w14:solidFill>
                    <w14:schemeClr w14:val="tx1"/>
                  </w14:solidFill>
                </w14:textFill>
              </w:rPr>
              <w:t>目标</w:t>
            </w:r>
          </w:p>
        </w:tc>
        <w:tc>
          <w:tcPr>
            <w:tcW w:w="1776" w:type="pct"/>
            <w:gridSpan w:val="3"/>
            <w:shd w:val="clear" w:color="auto" w:fill="auto"/>
            <w:vAlign w:val="center"/>
          </w:tcPr>
          <w:p w14:paraId="12F2D853">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能力</w:t>
            </w:r>
            <w:r>
              <w:rPr>
                <w:rFonts w:hint="eastAsia" w:ascii="宋体" w:hAnsi="宋体" w:eastAsia="宋体" w:cs="宋体"/>
                <w:color w:val="000000" w:themeColor="text1"/>
                <w:sz w:val="21"/>
                <w:szCs w:val="21"/>
                <w14:textFill>
                  <w14:solidFill>
                    <w14:schemeClr w14:val="tx1"/>
                  </w14:solidFill>
                </w14:textFill>
              </w:rPr>
              <w:t>目标</w:t>
            </w:r>
          </w:p>
        </w:tc>
        <w:tc>
          <w:tcPr>
            <w:tcW w:w="1680" w:type="pct"/>
            <w:shd w:val="clear" w:color="auto" w:fill="auto"/>
            <w:vAlign w:val="center"/>
          </w:tcPr>
          <w:p w14:paraId="284AF4F7">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素质</w:t>
            </w:r>
            <w:r>
              <w:rPr>
                <w:rFonts w:hint="eastAsia" w:ascii="宋体" w:hAnsi="宋体" w:eastAsia="宋体" w:cs="宋体"/>
                <w:color w:val="000000" w:themeColor="text1"/>
                <w:sz w:val="21"/>
                <w:szCs w:val="21"/>
                <w14:textFill>
                  <w14:solidFill>
                    <w14:schemeClr w14:val="tx1"/>
                  </w14:solidFill>
                </w14:textFill>
              </w:rPr>
              <w:t>目标</w:t>
            </w:r>
          </w:p>
        </w:tc>
      </w:tr>
      <w:tr w14:paraId="09555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5" w:hRule="atLeast"/>
          <w:jc w:val="center"/>
        </w:trPr>
        <w:tc>
          <w:tcPr>
            <w:tcW w:w="1543" w:type="pct"/>
            <w:gridSpan w:val="2"/>
            <w:shd w:val="clear" w:color="auto" w:fill="auto"/>
            <w:vAlign w:val="center"/>
          </w:tcPr>
          <w:p w14:paraId="65135914">
            <w:pPr>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w:t>
            </w:r>
            <w:r>
              <w:rPr>
                <w:rFonts w:hint="eastAsia" w:ascii="宋体" w:hAnsi="宋体" w:eastAsia="宋体" w:cs="宋体"/>
                <w:b w:val="0"/>
                <w:bCs w:val="0"/>
                <w:color w:val="000000" w:themeColor="text1"/>
                <w:sz w:val="21"/>
                <w:szCs w:val="21"/>
                <w:lang w:val="en-US" w:eastAsia="zh-CN"/>
                <w14:textFill>
                  <w14:solidFill>
                    <w14:schemeClr w14:val="tx1"/>
                  </w14:solidFill>
                </w14:textFill>
              </w:rPr>
              <w:t>掌握蓄电池基本指标</w:t>
            </w:r>
            <w:r>
              <w:rPr>
                <w:rFonts w:hint="eastAsia" w:ascii="宋体" w:hAnsi="宋体" w:eastAsia="宋体" w:cs="宋体"/>
                <w:b w:val="0"/>
                <w:bCs w:val="0"/>
                <w:color w:val="000000" w:themeColor="text1"/>
                <w:sz w:val="21"/>
                <w:szCs w:val="21"/>
                <w14:textFill>
                  <w14:solidFill>
                    <w14:schemeClr w14:val="tx1"/>
                  </w14:solidFill>
                </w14:textFill>
              </w:rPr>
              <w:t>含义</w:t>
            </w:r>
          </w:p>
          <w:p w14:paraId="18637734">
            <w:pPr>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2.掌握蓄电池</w:t>
            </w:r>
            <w:r>
              <w:rPr>
                <w:rFonts w:hint="eastAsia" w:ascii="宋体" w:hAnsi="宋体" w:eastAsia="宋体" w:cs="宋体"/>
                <w:color w:val="000000" w:themeColor="text1"/>
                <w:sz w:val="21"/>
                <w:szCs w:val="21"/>
                <w14:textFill>
                  <w14:solidFill>
                    <w14:schemeClr w14:val="tx1"/>
                  </w14:solidFill>
                </w14:textFill>
              </w:rPr>
              <w:t>的充放电指标</w:t>
            </w:r>
          </w:p>
          <w:p w14:paraId="1B4CCD95">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3.理解</w:t>
            </w:r>
            <w:r>
              <w:rPr>
                <w:rFonts w:hint="eastAsia" w:ascii="宋体" w:hAnsi="宋体" w:eastAsia="宋体" w:cs="宋体"/>
                <w:color w:val="000000" w:themeColor="text1"/>
                <w:sz w:val="21"/>
                <w:szCs w:val="21"/>
                <w14:textFill>
                  <w14:solidFill>
                    <w14:schemeClr w14:val="tx1"/>
                  </w14:solidFill>
                </w14:textFill>
              </w:rPr>
              <w:t>SOC值的计算方法</w:t>
            </w:r>
          </w:p>
        </w:tc>
        <w:tc>
          <w:tcPr>
            <w:tcW w:w="1776" w:type="pct"/>
            <w:gridSpan w:val="3"/>
            <w:shd w:val="clear" w:color="auto" w:fill="auto"/>
            <w:vAlign w:val="center"/>
          </w:tcPr>
          <w:p w14:paraId="458766F3">
            <w:pPr>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1.能够用内阻仪测量单体蓄电池的内阻</w:t>
            </w:r>
          </w:p>
          <w:p w14:paraId="722BBB52">
            <w:pPr>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2.能够用</w:t>
            </w:r>
            <w:r>
              <w:rPr>
                <w:rFonts w:hint="eastAsia" w:ascii="宋体" w:hAnsi="宋体" w:eastAsia="宋体" w:cs="宋体"/>
                <w:color w:val="000000" w:themeColor="text1"/>
                <w:sz w:val="21"/>
                <w:szCs w:val="21"/>
                <w14:textFill>
                  <w14:solidFill>
                    <w14:schemeClr w14:val="tx1"/>
                  </w14:solidFill>
                </w14:textFill>
              </w:rPr>
              <w:t>电池均衡修复仪</w:t>
            </w:r>
            <w:r>
              <w:rPr>
                <w:rFonts w:hint="eastAsia" w:ascii="宋体" w:hAnsi="宋体" w:eastAsia="宋体" w:cs="宋体"/>
                <w:color w:val="000000" w:themeColor="text1"/>
                <w:sz w:val="21"/>
                <w:szCs w:val="21"/>
                <w:lang w:val="en-US" w:eastAsia="zh-CN"/>
                <w14:textFill>
                  <w14:solidFill>
                    <w14:schemeClr w14:val="tx1"/>
                  </w14:solidFill>
                </w14:textFill>
              </w:rPr>
              <w:t>对动力蓄电池进行</w:t>
            </w:r>
            <w:r>
              <w:rPr>
                <w:rFonts w:hint="eastAsia" w:ascii="宋体" w:hAnsi="宋体" w:eastAsia="宋体" w:cs="宋体"/>
                <w:color w:val="000000" w:themeColor="text1"/>
                <w:sz w:val="21"/>
                <w:szCs w:val="21"/>
                <w14:textFill>
                  <w14:solidFill>
                    <w14:schemeClr w14:val="tx1"/>
                  </w14:solidFill>
                </w14:textFill>
              </w:rPr>
              <w:t>分容</w:t>
            </w:r>
            <w:r>
              <w:rPr>
                <w:rFonts w:hint="eastAsia" w:ascii="宋体" w:hAnsi="宋体" w:eastAsia="宋体" w:cs="宋体"/>
                <w:sz w:val="21"/>
                <w:szCs w:val="21"/>
                <w:lang w:val="en-US" w:eastAsia="zh-CN"/>
              </w:rPr>
              <w:t>操作</w:t>
            </w:r>
          </w:p>
        </w:tc>
        <w:tc>
          <w:tcPr>
            <w:tcW w:w="1680" w:type="pct"/>
            <w:shd w:val="clear" w:color="auto" w:fill="auto"/>
            <w:vAlign w:val="center"/>
          </w:tcPr>
          <w:p w14:paraId="7DEC5EAF">
            <w:pPr>
              <w:numPr>
                <w:ilvl w:val="0"/>
                <w:numId w:val="0"/>
              </w:numPr>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w:t>
            </w:r>
            <w:r>
              <w:rPr>
                <w:rFonts w:hint="eastAsia" w:ascii="宋体" w:hAnsi="宋体" w:eastAsia="宋体" w:cs="宋体"/>
                <w:color w:val="000000" w:themeColor="text1"/>
                <w:sz w:val="21"/>
                <w:szCs w:val="21"/>
                <w:lang w:val="en-US" w:eastAsia="zh-CN"/>
                <w14:textFill>
                  <w14:solidFill>
                    <w14:schemeClr w14:val="tx1"/>
                  </w14:solidFill>
                </w14:textFill>
              </w:rPr>
              <w:t>在操作过程中树立高压安全意识</w:t>
            </w:r>
          </w:p>
          <w:p w14:paraId="3F8CF203">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2.</w:t>
            </w:r>
            <w:r>
              <w:rPr>
                <w:rFonts w:hint="eastAsia" w:ascii="宋体" w:hAnsi="宋体" w:eastAsia="宋体" w:cs="宋体"/>
                <w:color w:val="000000" w:themeColor="text1"/>
                <w:sz w:val="21"/>
                <w:szCs w:val="21"/>
                <w:lang w:val="en-US" w:eastAsia="zh-CN"/>
                <w14:textFill>
                  <w14:solidFill>
                    <w14:schemeClr w14:val="tx1"/>
                  </w14:solidFill>
                </w14:textFill>
              </w:rPr>
              <w:t>培养学生的团队协作意识</w:t>
            </w:r>
          </w:p>
        </w:tc>
      </w:tr>
      <w:tr w14:paraId="0BDD0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shd w:val="clear" w:color="auto" w:fill="auto"/>
            <w:vAlign w:val="center"/>
          </w:tcPr>
          <w:p w14:paraId="7F012049">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教学重难点</w:t>
            </w:r>
          </w:p>
          <w:p w14:paraId="5CB96B5B">
            <w:pPr>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w:t>
            </w:r>
            <w:r>
              <w:rPr>
                <w:rFonts w:hint="eastAsia" w:ascii="宋体" w:hAnsi="宋体" w:eastAsia="宋体" w:cs="宋体"/>
                <w:color w:val="000000" w:themeColor="text1"/>
                <w:sz w:val="21"/>
                <w:szCs w:val="21"/>
                <w14:textFill>
                  <w14:solidFill>
                    <w14:schemeClr w14:val="tx1"/>
                  </w14:solidFill>
                </w14:textFill>
              </w:rPr>
              <w:t>教学重点</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b w:val="0"/>
                <w:bCs w:val="0"/>
                <w:color w:val="000000" w:themeColor="text1"/>
                <w:sz w:val="21"/>
                <w:szCs w:val="21"/>
                <w:lang w:val="en-US" w:eastAsia="zh-CN"/>
                <w14:textFill>
                  <w14:solidFill>
                    <w14:schemeClr w14:val="tx1"/>
                  </w14:solidFill>
                </w14:textFill>
              </w:rPr>
              <w:t>蓄电池基本指标</w:t>
            </w:r>
            <w:r>
              <w:rPr>
                <w:rFonts w:hint="eastAsia" w:ascii="宋体" w:hAnsi="宋体" w:eastAsia="宋体" w:cs="宋体"/>
                <w:b w:val="0"/>
                <w:bCs w:val="0"/>
                <w:color w:val="000000" w:themeColor="text1"/>
                <w:sz w:val="21"/>
                <w:szCs w:val="21"/>
                <w14:textFill>
                  <w14:solidFill>
                    <w14:schemeClr w14:val="tx1"/>
                  </w14:solidFill>
                </w14:textFill>
              </w:rPr>
              <w:t>含义</w:t>
            </w:r>
          </w:p>
          <w:p w14:paraId="6B11A2F1">
            <w:pPr>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w:t>
            </w:r>
            <w:r>
              <w:rPr>
                <w:rFonts w:hint="eastAsia" w:ascii="宋体" w:hAnsi="宋体" w:eastAsia="宋体" w:cs="宋体"/>
                <w:color w:val="000000" w:themeColor="text1"/>
                <w:sz w:val="21"/>
                <w:szCs w:val="21"/>
                <w14:textFill>
                  <w14:solidFill>
                    <w14:schemeClr w14:val="tx1"/>
                  </w14:solidFill>
                </w14:textFill>
              </w:rPr>
              <w:t>教学难点</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蓄电池</w:t>
            </w:r>
            <w:r>
              <w:rPr>
                <w:rFonts w:hint="eastAsia" w:ascii="宋体" w:hAnsi="宋体" w:eastAsia="宋体" w:cs="宋体"/>
                <w:color w:val="000000" w:themeColor="text1"/>
                <w:sz w:val="21"/>
                <w:szCs w:val="21"/>
                <w14:textFill>
                  <w14:solidFill>
                    <w14:schemeClr w14:val="tx1"/>
                  </w14:solidFill>
                </w14:textFill>
              </w:rPr>
              <w:t>的充放电指标</w:t>
            </w:r>
          </w:p>
        </w:tc>
      </w:tr>
      <w:tr w14:paraId="6B5D1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shd w:val="clear" w:color="auto" w:fill="auto"/>
            <w:vAlign w:val="center"/>
          </w:tcPr>
          <w:p w14:paraId="286F97EE">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教学方法</w:t>
            </w:r>
          </w:p>
          <w:p w14:paraId="0EB23AC7">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讲授法、讨论法</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案例法</w:t>
            </w:r>
            <w:r>
              <w:rPr>
                <w:rFonts w:hint="eastAsia" w:ascii="宋体" w:hAnsi="宋体" w:eastAsia="宋体" w:cs="宋体"/>
                <w:color w:val="000000" w:themeColor="text1"/>
                <w:sz w:val="21"/>
                <w:szCs w:val="21"/>
                <w14:textFill>
                  <w14:solidFill>
                    <w14:schemeClr w14:val="tx1"/>
                  </w14:solidFill>
                </w14:textFill>
              </w:rPr>
              <w:t>；通过系统介绍引发学生兴趣，给出资料学生获取信息，然后应用所获信息解决问题</w:t>
            </w:r>
            <w:r>
              <w:rPr>
                <w:rFonts w:hint="eastAsia" w:ascii="宋体" w:hAnsi="宋体" w:eastAsia="宋体" w:cs="宋体"/>
                <w:color w:val="000000" w:themeColor="text1"/>
                <w:sz w:val="21"/>
                <w:szCs w:val="21"/>
                <w:lang w:eastAsia="zh-CN"/>
                <w14:textFill>
                  <w14:solidFill>
                    <w14:schemeClr w14:val="tx1"/>
                  </w14:solidFill>
                </w14:textFill>
              </w:rPr>
              <w:t>。</w:t>
            </w:r>
          </w:p>
        </w:tc>
      </w:tr>
      <w:tr w14:paraId="68ABA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2379CAF1">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教学资源</w:t>
            </w:r>
          </w:p>
          <w:p w14:paraId="794F74F6">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PPT课件、</w:t>
            </w:r>
            <w:r>
              <w:rPr>
                <w:rFonts w:hint="eastAsia" w:ascii="宋体" w:hAnsi="宋体" w:eastAsia="宋体" w:cs="宋体"/>
                <w:color w:val="000000" w:themeColor="text1"/>
                <w:sz w:val="21"/>
                <w:szCs w:val="21"/>
                <w14:textFill>
                  <w14:solidFill>
                    <w14:schemeClr w14:val="tx1"/>
                  </w14:solidFill>
                </w14:textFill>
              </w:rPr>
              <w:t>微课视频</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实训设备、实训工单、练习题、思政内容等。</w:t>
            </w:r>
          </w:p>
        </w:tc>
      </w:tr>
      <w:tr w14:paraId="0BF1D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shd w:val="clear" w:color="auto" w:fill="auto"/>
            <w:vAlign w:val="center"/>
          </w:tcPr>
          <w:p w14:paraId="675BE541">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教学实施过程</w:t>
            </w:r>
          </w:p>
        </w:tc>
      </w:tr>
      <w:tr w14:paraId="3FA6A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5000" w:type="pct"/>
            <w:gridSpan w:val="6"/>
            <w:shd w:val="clear" w:color="auto" w:fill="auto"/>
            <w:vAlign w:val="center"/>
          </w:tcPr>
          <w:p w14:paraId="76C8FDBB">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w:t>
            </w:r>
            <w:r>
              <w:rPr>
                <w:rFonts w:hint="eastAsia" w:ascii="宋体" w:hAnsi="宋体" w:eastAsia="宋体" w:cs="宋体"/>
                <w:color w:val="000000" w:themeColor="text1"/>
                <w:sz w:val="21"/>
                <w:szCs w:val="21"/>
                <w14:textFill>
                  <w14:solidFill>
                    <w14:schemeClr w14:val="tx1"/>
                  </w14:solidFill>
                </w14:textFill>
              </w:rPr>
              <w:t>课前</w:t>
            </w:r>
            <w:r>
              <w:rPr>
                <w:rFonts w:hint="eastAsia" w:ascii="宋体" w:hAnsi="宋体" w:eastAsia="宋体" w:cs="宋体"/>
                <w:color w:val="000000" w:themeColor="text1"/>
                <w:sz w:val="21"/>
                <w:szCs w:val="21"/>
                <w:lang w:val="en-US" w:eastAsia="zh-CN"/>
                <w14:textFill>
                  <w14:solidFill>
                    <w14:schemeClr w14:val="tx1"/>
                  </w14:solidFill>
                </w14:textFill>
              </w:rPr>
              <w:t>准备</w:t>
            </w:r>
          </w:p>
          <w:p w14:paraId="548494EC">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多媒体教室、教学课件、教学设备等。</w:t>
            </w:r>
          </w:p>
        </w:tc>
      </w:tr>
      <w:tr w14:paraId="25486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shd w:val="clear" w:color="auto" w:fill="auto"/>
            <w:vAlign w:val="center"/>
          </w:tcPr>
          <w:p w14:paraId="7A54F538">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2.教学内容</w:t>
            </w:r>
          </w:p>
          <w:p w14:paraId="767FAF29">
            <w:pPr>
              <w:bidi w:val="0"/>
              <w:spacing w:line="360" w:lineRule="auto"/>
              <w:rPr>
                <w:rFonts w:hint="eastAsia" w:ascii="宋体" w:hAnsi="宋体" w:eastAsia="宋体" w:cs="宋体"/>
                <w:sz w:val="21"/>
                <w:szCs w:val="21"/>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一、</w:t>
            </w:r>
            <w:r>
              <w:rPr>
                <w:rFonts w:hint="eastAsia" w:ascii="宋体" w:hAnsi="宋体" w:eastAsia="宋体" w:cs="宋体"/>
                <w:sz w:val="21"/>
                <w:szCs w:val="21"/>
                <w:lang w:val="en-US" w:eastAsia="zh-CN"/>
              </w:rPr>
              <w:t>动力电池的性能参数</w:t>
            </w:r>
          </w:p>
          <w:p w14:paraId="1B6B4167">
            <w:pPr>
              <w:spacing w:line="360" w:lineRule="auto"/>
              <w:jc w:val="left"/>
              <w:rPr>
                <w:rFonts w:hint="eastAsia" w:ascii="宋体" w:hAnsi="宋体" w:eastAsia="宋体" w:cs="宋体"/>
                <w:color w:val="000000" w:themeColor="text1"/>
                <w:kern w:val="2"/>
                <w:sz w:val="21"/>
                <w:szCs w:val="21"/>
                <w:lang w:eastAsia="zh-CN" w:bidi="ar-SA"/>
                <w14:textFill>
                  <w14:solidFill>
                    <w14:schemeClr w14:val="tx1"/>
                  </w14:solidFill>
                </w14:textFill>
              </w:rPr>
            </w:pPr>
            <w:r>
              <w:rPr>
                <w:rFonts w:hint="eastAsia" w:ascii="宋体" w:hAnsi="宋体" w:eastAsia="宋体" w:cs="宋体"/>
                <w:sz w:val="21"/>
                <w:szCs w:val="21"/>
              </w:rPr>
              <w:t>电动汽车发展，是电池技术的发展。动力电池已经从传统的铅酸电池发展到镍氢、钴酸锂、锰酸锂、聚合物、磷酸铁锂等先进的绿色动力电池。动力电池在比能量、比功率、安全性、可靠性、循环寿命、成本等方面，都取得很大的进步。表1-1所示为电动汽车上使用的主流动力电池的性能特点。</w:t>
            </w:r>
            <w:r>
              <w:rPr>
                <w:rFonts w:hint="eastAsia" w:ascii="宋体" w:hAnsi="宋体" w:eastAsia="宋体" w:cs="宋体"/>
                <w:sz w:val="21"/>
                <w:szCs w:val="21"/>
              </w:rPr>
              <w:drawing>
                <wp:inline distT="0" distB="0" distL="114300" distR="114300">
                  <wp:extent cx="5002530" cy="1740535"/>
                  <wp:effectExtent l="0" t="0" r="7620" b="1206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9"/>
                          <a:stretch>
                            <a:fillRect/>
                          </a:stretch>
                        </pic:blipFill>
                        <pic:spPr>
                          <a:xfrm>
                            <a:off x="0" y="0"/>
                            <a:ext cx="5002530" cy="1740535"/>
                          </a:xfrm>
                          <a:prstGeom prst="rect">
                            <a:avLst/>
                          </a:prstGeom>
                          <a:noFill/>
                          <a:ln>
                            <a:noFill/>
                          </a:ln>
                        </pic:spPr>
                      </pic:pic>
                    </a:graphicData>
                  </a:graphic>
                </wp:inline>
              </w:drawing>
            </w:r>
          </w:p>
          <w:p w14:paraId="5CD978EB">
            <w:pPr>
              <w:pStyle w:val="4"/>
              <w:numPr>
                <w:ilvl w:val="0"/>
                <w:numId w:val="0"/>
              </w:numPr>
              <w:bidi w:val="0"/>
              <w:spacing w:line="360" w:lineRule="auto"/>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1.电池容量：通常以安时（Ah）或毫安时（mAh）为单位，表示电池在一定放电条件下可以获得的电量。具体可分为理论容量、标称容量、实际容量和额定容量等。</w:t>
            </w:r>
          </w:p>
          <w:p w14:paraId="21689D00">
            <w:pPr>
              <w:pStyle w:val="4"/>
              <w:numPr>
                <w:ilvl w:val="0"/>
                <w:numId w:val="0"/>
              </w:numPr>
              <w:bidi w:val="0"/>
              <w:spacing w:line="360" w:lineRule="auto"/>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理论容量：当电池内部活性物质全部参加电池成流反应，所能释放出的总电量。</w:t>
            </w:r>
          </w:p>
          <w:p w14:paraId="16B510E3">
            <w:pPr>
              <w:pStyle w:val="4"/>
              <w:numPr>
                <w:ilvl w:val="0"/>
                <w:numId w:val="0"/>
              </w:numPr>
              <w:bidi w:val="0"/>
              <w:spacing w:line="360" w:lineRule="auto"/>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标称容量：在完全充满电后，电池在室温25℃下、以C/30放电倍率恒流放电至截止电压所能得到的最大电量。</w:t>
            </w:r>
          </w:p>
          <w:p w14:paraId="4100CEE1">
            <w:pPr>
              <w:pStyle w:val="4"/>
              <w:numPr>
                <w:ilvl w:val="0"/>
                <w:numId w:val="0"/>
              </w:numPr>
              <w:bidi w:val="0"/>
              <w:spacing w:line="360" w:lineRule="auto"/>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实际容量：电池在一定的放电条件下实际可放出的电量，等于放电电流与放电时间的乘积，其值小于理论容量。</w:t>
            </w:r>
          </w:p>
          <w:p w14:paraId="4ADA9807">
            <w:pPr>
              <w:pStyle w:val="4"/>
              <w:numPr>
                <w:ilvl w:val="0"/>
                <w:numId w:val="0"/>
              </w:numPr>
              <w:bidi w:val="0"/>
              <w:spacing w:line="360" w:lineRule="auto"/>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2.电池能量：通常以瓦时（Wh）为单位，表示电池在一定放电条件下所能给出的电能。电池的能量可以分为理论能量和实际能量。电池的比能量是综合性指标，它反映了电池的质量水平，也表明生产厂家的技术和管理水平。</w:t>
            </w:r>
          </w:p>
          <w:p w14:paraId="5F63DF60">
            <w:pPr>
              <w:pStyle w:val="4"/>
              <w:numPr>
                <w:ilvl w:val="0"/>
                <w:numId w:val="0"/>
              </w:numPr>
              <w:bidi w:val="0"/>
              <w:spacing w:line="360" w:lineRule="auto"/>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3.充放电倍率：反映电池充放电能力倍率，充放电倍率=充放电电流/额定容量，表示放电快慢的一种量度。一般可以通过不同的放电电流来检测电池的容量。例如电池容量为100Ah的电池，用15A放电时，其放电倍率即为0.15C。</w:t>
            </w:r>
          </w:p>
          <w:p w14:paraId="049C18D6">
            <w:pPr>
              <w:pStyle w:val="4"/>
              <w:numPr>
                <w:ilvl w:val="0"/>
                <w:numId w:val="0"/>
              </w:numPr>
              <w:bidi w:val="0"/>
              <w:spacing w:line="360" w:lineRule="auto"/>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4.放电深度（DOD）：指在电池使用过程中，电池放出的容量占电池额定容量的百分比。同一电池，设置的DOD深度和电池循环寿命成反比。</w:t>
            </w:r>
          </w:p>
          <w:p w14:paraId="0FA33CC5">
            <w:pPr>
              <w:pStyle w:val="4"/>
              <w:numPr>
                <w:ilvl w:val="0"/>
                <w:numId w:val="0"/>
              </w:numPr>
              <w:bidi w:val="0"/>
              <w:spacing w:line="360" w:lineRule="auto"/>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5.荷电状态（SOC）：表示电池剩余电量占电池额定容量的百分比，常用百分数表示。其取值范围为0至1，当SOC=0时表示电池放电完全，当SOC=1时表示电池完全充满。如图1-1-1所示。</w:t>
            </w: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5207000" cy="2487930"/>
                  <wp:effectExtent l="0" t="0" r="12700" b="7620"/>
                  <wp:docPr id="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pic:cNvPicPr>
                            <a:picLocks noChangeAspect="1"/>
                          </pic:cNvPicPr>
                        </pic:nvPicPr>
                        <pic:blipFill>
                          <a:blip r:embed="rId20"/>
                          <a:stretch>
                            <a:fillRect/>
                          </a:stretch>
                        </pic:blipFill>
                        <pic:spPr>
                          <a:xfrm>
                            <a:off x="0" y="0"/>
                            <a:ext cx="5207000" cy="2487930"/>
                          </a:xfrm>
                          <a:prstGeom prst="rect">
                            <a:avLst/>
                          </a:prstGeom>
                          <a:noFill/>
                          <a:ln>
                            <a:noFill/>
                          </a:ln>
                        </pic:spPr>
                      </pic:pic>
                    </a:graphicData>
                  </a:graphic>
                </wp:inline>
              </w:drawing>
            </w:r>
          </w:p>
          <w:p w14:paraId="6101009E">
            <w:pPr>
              <w:pStyle w:val="4"/>
              <w:numPr>
                <w:ilvl w:val="0"/>
                <w:numId w:val="0"/>
              </w:numPr>
              <w:bidi w:val="0"/>
              <w:spacing w:line="360" w:lineRule="auto"/>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6.电池健康状态（SOH）：是电池从满充状态下以一定的倍率放电到截止电压所放出的容量与其所对应的标称容量的比值，通常以百分比表示。简单来说，就是电池使用一段时间后，性能参数与标称参数的比值。新出厂电池为100%，完全报废为0%。根据IEEE标准，电池使用一段时间后，电池充满电时的容量低于额定容量的80%，电池就应该被更换。</w:t>
            </w:r>
          </w:p>
          <w:p w14:paraId="1E6A3D36">
            <w:pPr>
              <w:pStyle w:val="4"/>
              <w:numPr>
                <w:ilvl w:val="0"/>
                <w:numId w:val="0"/>
              </w:numPr>
              <w:bidi w:val="0"/>
              <w:spacing w:line="360" w:lineRule="auto"/>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7.循环寿命：蓄电池经历一次充电和放电，称为一次循环。在一定放电条件下，电池工作至某一容量规定值之前，电池所能承受的循环次数，称为循环寿命。循环寿命越长，电池的使用寿命就越长。</w:t>
            </w:r>
          </w:p>
          <w:p w14:paraId="0A7A3875">
            <w:p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8.内阻：电池的内阻不是常数，在充放电过程中随时间不断变化，因为活性物质的组成、电解液浓度和温度都在不断地改变。欧姆电阻遵守欧姆定律，极化电阻随电流密度增加而增大，但不是线性关系，常随电流密度的对数增大而线性增大。</w:t>
            </w:r>
          </w:p>
          <w:p w14:paraId="7343ADB0">
            <w:p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9.安全性：电池在使用过程中不会发生泄漏、短路、爆炸等安全问题。安全性是电池应用的重要保证。</w:t>
            </w:r>
          </w:p>
          <w:p w14:paraId="35B5B730">
            <w:p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11.充电速度：指电池充电的速度，快速充电可以提高电池的使用效率和方便性。</w:t>
            </w:r>
          </w:p>
          <w:p w14:paraId="3C73B7B8">
            <w:p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12.温度特性：指电池在不同温度下的性能表现，包括放电容量、循环寿命、内阻等。温度特性对于电池的使用环境和应用范围有着重要的影响。</w:t>
            </w:r>
          </w:p>
          <w:p w14:paraId="29805614">
            <w:p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13.能量密度：指电池单位体积或单位重量的储能能力，通常以Wh/kg或Wh/L为单位。高能量密度的电池可以提供更长的续航里程或使用时间。</w:t>
            </w:r>
          </w:p>
          <w:p w14:paraId="4442A752">
            <w:pPr>
              <w:pStyle w:val="4"/>
              <w:numPr>
                <w:ilvl w:val="0"/>
                <w:numId w:val="0"/>
              </w:numPr>
              <w:bidi w:val="0"/>
              <w:spacing w:line="360" w:lineRule="auto"/>
              <w:rPr>
                <w:rFonts w:hint="eastAsia" w:ascii="宋体" w:hAnsi="宋体" w:eastAsia="宋体" w:cs="宋体"/>
                <w:b w:val="0"/>
                <w:bCs/>
                <w:sz w:val="21"/>
                <w:szCs w:val="21"/>
              </w:rPr>
            </w:pPr>
            <w:r>
              <w:rPr>
                <w:rFonts w:hint="eastAsia" w:ascii="宋体" w:hAnsi="宋体" w:eastAsia="宋体" w:cs="宋体"/>
                <w:b w:val="0"/>
                <w:bCs/>
                <w:color w:val="000000" w:themeColor="text1"/>
                <w:sz w:val="21"/>
                <w:szCs w:val="21"/>
                <w:lang w:val="en-US" w:eastAsia="zh-CN"/>
                <w14:textFill>
                  <w14:solidFill>
                    <w14:schemeClr w14:val="tx1"/>
                  </w14:solidFill>
                </w14:textFill>
              </w:rPr>
              <w:t>二、</w:t>
            </w:r>
            <w:r>
              <w:rPr>
                <w:rFonts w:hint="eastAsia" w:ascii="宋体" w:hAnsi="宋体" w:eastAsia="宋体" w:cs="宋体"/>
                <w:b w:val="0"/>
                <w:bCs/>
                <w:sz w:val="21"/>
                <w:szCs w:val="21"/>
              </w:rPr>
              <w:t>单体</w:t>
            </w:r>
            <w:r>
              <w:rPr>
                <w:rFonts w:hint="eastAsia" w:ascii="宋体" w:hAnsi="宋体" w:eastAsia="宋体" w:cs="宋体"/>
                <w:b w:val="0"/>
                <w:bCs/>
                <w:sz w:val="21"/>
                <w:szCs w:val="21"/>
                <w:lang w:val="en-US" w:eastAsia="zh-CN"/>
              </w:rPr>
              <w:t>蓄</w:t>
            </w:r>
            <w:r>
              <w:rPr>
                <w:rFonts w:hint="eastAsia" w:ascii="宋体" w:hAnsi="宋体" w:eastAsia="宋体" w:cs="宋体"/>
                <w:b w:val="0"/>
                <w:bCs/>
                <w:sz w:val="21"/>
                <w:szCs w:val="21"/>
              </w:rPr>
              <w:t>电池串并联的参数</w:t>
            </w:r>
          </w:p>
          <w:p w14:paraId="2B50A884">
            <w:pPr>
              <w:spacing w:line="360" w:lineRule="auto"/>
              <w:rPr>
                <w:rFonts w:hint="eastAsia" w:ascii="宋体" w:hAnsi="宋体" w:eastAsia="宋体" w:cs="宋体"/>
                <w:sz w:val="21"/>
                <w:szCs w:val="21"/>
              </w:rPr>
            </w:pPr>
            <w:r>
              <w:rPr>
                <w:rFonts w:hint="eastAsia" w:ascii="宋体" w:hAnsi="宋体" w:eastAsia="宋体" w:cs="宋体"/>
                <w:sz w:val="21"/>
                <w:szCs w:val="21"/>
              </w:rPr>
              <w:t>单体蓄电池串并联的参数主要包括电压和容量两个方面，具体表现如下：</w:t>
            </w:r>
          </w:p>
          <w:p w14:paraId="01ED225E">
            <w:pPr>
              <w:spacing w:line="360" w:lineRule="auto"/>
              <w:rPr>
                <w:rFonts w:hint="eastAsia" w:ascii="宋体" w:hAnsi="宋体" w:eastAsia="宋体" w:cs="宋体"/>
                <w:sz w:val="21"/>
                <w:szCs w:val="21"/>
              </w:rPr>
            </w:pPr>
            <w:r>
              <w:rPr>
                <w:rFonts w:hint="eastAsia" w:ascii="宋体" w:hAnsi="宋体" w:eastAsia="宋体" w:cs="宋体"/>
                <w:sz w:val="21"/>
                <w:szCs w:val="21"/>
                <w:lang w:val="en-US" w:eastAsia="zh-CN"/>
              </w:rPr>
              <w:t>1.</w:t>
            </w:r>
            <w:r>
              <w:rPr>
                <w:rFonts w:hint="eastAsia" w:ascii="宋体" w:hAnsi="宋体" w:eastAsia="宋体" w:cs="宋体"/>
                <w:sz w:val="21"/>
                <w:szCs w:val="21"/>
              </w:rPr>
              <w:t>串联时的参数变化</w:t>
            </w:r>
          </w:p>
          <w:p w14:paraId="3000E386">
            <w:pPr>
              <w:numPr>
                <w:ilvl w:val="0"/>
                <w:numId w:val="0"/>
              </w:numPr>
              <w:bidi w:val="0"/>
              <w:spacing w:line="360" w:lineRule="auto"/>
              <w:rPr>
                <w:rFonts w:hint="eastAsia" w:ascii="宋体" w:hAnsi="宋体" w:eastAsia="宋体" w:cs="宋体"/>
                <w:sz w:val="21"/>
                <w:szCs w:val="21"/>
              </w:rPr>
            </w:pPr>
            <w:r>
              <w:rPr>
                <w:rFonts w:hint="eastAsia" w:ascii="宋体" w:hAnsi="宋体" w:eastAsia="宋体" w:cs="宋体"/>
                <w:sz w:val="21"/>
                <w:szCs w:val="21"/>
              </w:rPr>
              <w:t>总电压：电池组总电压等于单个电池电压之和。即V总=N×单体电芯电压V，其中N为串联的电池数量。</w:t>
            </w:r>
          </w:p>
          <w:p w14:paraId="172BA89C">
            <w:pPr>
              <w:numPr>
                <w:ilvl w:val="0"/>
                <w:numId w:val="0"/>
              </w:numPr>
              <w:bidi w:val="0"/>
              <w:spacing w:line="360" w:lineRule="auto"/>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76755" cy="1557020"/>
                  <wp:effectExtent l="0" t="0" r="4445" b="5080"/>
                  <wp:docPr id="256"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 descr="IMG_256"/>
                          <pic:cNvPicPr>
                            <a:picLocks noChangeAspect="1"/>
                          </pic:cNvPicPr>
                        </pic:nvPicPr>
                        <pic:blipFill>
                          <a:blip r:embed="rId21"/>
                          <a:srcRect t="10109" b="11791"/>
                          <a:stretch>
                            <a:fillRect/>
                          </a:stretch>
                        </pic:blipFill>
                        <pic:spPr>
                          <a:xfrm>
                            <a:off x="0" y="0"/>
                            <a:ext cx="1976755" cy="1557020"/>
                          </a:xfrm>
                          <a:prstGeom prst="rect">
                            <a:avLst/>
                          </a:prstGeom>
                          <a:noFill/>
                          <a:ln w="9525">
                            <a:noFill/>
                          </a:ln>
                        </pic:spPr>
                      </pic:pic>
                    </a:graphicData>
                  </a:graphic>
                </wp:inline>
              </w:drawing>
            </w:r>
            <w:r>
              <w:rPr>
                <w:rFonts w:hint="eastAsia" w:ascii="宋体" w:hAnsi="宋体" w:eastAsia="宋体" w:cs="宋体"/>
                <w:sz w:val="21"/>
                <w:szCs w:val="21"/>
              </w:rPr>
              <w:drawing>
                <wp:inline distT="0" distB="0" distL="114300" distR="114300">
                  <wp:extent cx="2264410" cy="1169035"/>
                  <wp:effectExtent l="0" t="0" r="2540" b="12065"/>
                  <wp:docPr id="2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3"/>
                          <pic:cNvPicPr>
                            <a:picLocks noChangeAspect="1"/>
                          </pic:cNvPicPr>
                        </pic:nvPicPr>
                        <pic:blipFill>
                          <a:blip r:embed="rId22"/>
                          <a:stretch>
                            <a:fillRect/>
                          </a:stretch>
                        </pic:blipFill>
                        <pic:spPr>
                          <a:xfrm>
                            <a:off x="0" y="0"/>
                            <a:ext cx="2264410" cy="1169035"/>
                          </a:xfrm>
                          <a:prstGeom prst="rect">
                            <a:avLst/>
                          </a:prstGeom>
                          <a:noFill/>
                          <a:ln>
                            <a:noFill/>
                          </a:ln>
                        </pic:spPr>
                      </pic:pic>
                    </a:graphicData>
                  </a:graphic>
                </wp:inline>
              </w:drawing>
            </w:r>
          </w:p>
          <w:p w14:paraId="7A61922D">
            <w:pPr>
              <w:spacing w:line="360" w:lineRule="auto"/>
              <w:rPr>
                <w:rFonts w:hint="eastAsia" w:ascii="宋体" w:hAnsi="宋体" w:eastAsia="宋体" w:cs="宋体"/>
                <w:sz w:val="21"/>
                <w:szCs w:val="21"/>
              </w:rPr>
            </w:pPr>
            <w:r>
              <w:rPr>
                <w:rFonts w:hint="eastAsia" w:ascii="宋体" w:hAnsi="宋体" w:eastAsia="宋体" w:cs="宋体"/>
                <w:sz w:val="21"/>
                <w:szCs w:val="21"/>
                <w:lang w:val="en-US" w:eastAsia="zh-CN"/>
              </w:rPr>
              <w:t>2.</w:t>
            </w:r>
            <w:r>
              <w:rPr>
                <w:rFonts w:hint="eastAsia" w:ascii="宋体" w:hAnsi="宋体" w:eastAsia="宋体" w:cs="宋体"/>
                <w:sz w:val="21"/>
                <w:szCs w:val="21"/>
              </w:rPr>
              <w:t>并联时的参数变化</w:t>
            </w:r>
          </w:p>
          <w:p w14:paraId="5953E1FE">
            <w:pPr>
              <w:spacing w:line="360" w:lineRule="auto"/>
              <w:rPr>
                <w:rFonts w:hint="eastAsia" w:ascii="宋体" w:hAnsi="宋体" w:eastAsia="宋体" w:cs="宋体"/>
                <w:sz w:val="21"/>
                <w:szCs w:val="21"/>
              </w:rPr>
            </w:pPr>
            <w:r>
              <w:rPr>
                <w:rFonts w:hint="eastAsia" w:ascii="宋体" w:hAnsi="宋体" w:eastAsia="宋体" w:cs="宋体"/>
                <w:sz w:val="21"/>
                <w:szCs w:val="21"/>
              </w:rPr>
              <w:t>总电压：电池组总电压保持不变，等于单个电池的电压。</w:t>
            </w:r>
          </w:p>
          <w:p w14:paraId="4F9D87BA">
            <w:pPr>
              <w:spacing w:line="360" w:lineRule="auto"/>
              <w:rPr>
                <w:rFonts w:hint="eastAsia" w:ascii="宋体" w:hAnsi="宋体" w:eastAsia="宋体" w:cs="宋体"/>
                <w:sz w:val="21"/>
                <w:szCs w:val="21"/>
              </w:rPr>
            </w:pPr>
            <w:r>
              <w:rPr>
                <w:rFonts w:hint="eastAsia" w:ascii="宋体" w:hAnsi="宋体" w:eastAsia="宋体" w:cs="宋体"/>
                <w:sz w:val="21"/>
                <w:szCs w:val="21"/>
              </w:rPr>
              <w:t>总容量：电池组总容量等于各支路电池容量的总和。</w:t>
            </w:r>
          </w:p>
          <w:p w14:paraId="7E883FE2">
            <w:pPr>
              <w:spacing w:line="360" w:lineRule="auto"/>
              <w:rPr>
                <w:rFonts w:hint="eastAsia" w:ascii="宋体" w:hAnsi="宋体" w:eastAsia="宋体" w:cs="宋体"/>
                <w:color w:val="000000" w:themeColor="text1"/>
                <w:sz w:val="21"/>
                <w:szCs w:val="21"/>
                <w:lang w:val="en-US"/>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2425700" cy="2122805"/>
                  <wp:effectExtent l="0" t="0" r="12700" b="10795"/>
                  <wp:docPr id="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pic:cNvPicPr>
                            <a:picLocks noChangeAspect="1"/>
                          </pic:cNvPicPr>
                        </pic:nvPicPr>
                        <pic:blipFill>
                          <a:blip r:embed="rId23"/>
                          <a:stretch>
                            <a:fillRect/>
                          </a:stretch>
                        </pic:blipFill>
                        <pic:spPr>
                          <a:xfrm>
                            <a:off x="0" y="0"/>
                            <a:ext cx="2425700" cy="2122805"/>
                          </a:xfrm>
                          <a:prstGeom prst="rect">
                            <a:avLst/>
                          </a:prstGeom>
                          <a:noFill/>
                          <a:ln>
                            <a:noFill/>
                          </a:ln>
                        </pic:spPr>
                      </pic:pic>
                    </a:graphicData>
                  </a:graphic>
                </wp:inline>
              </w:drawing>
            </w:r>
          </w:p>
          <w:p w14:paraId="6E4E470D">
            <w:pPr>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任务实施：</w:t>
            </w:r>
          </w:p>
          <w:p w14:paraId="1F93DF42">
            <w:pPr>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实施电动汽车高压维修时，一定要遵守电动汽车维修的高压防护规范，设置车辆标识和安全工作区、按要求佩戴高压防护用具、严格遵守高压操作流程。</w:t>
            </w:r>
          </w:p>
          <w:p w14:paraId="377F9A55">
            <w:pPr>
              <w:numPr>
                <w:ilvl w:val="0"/>
                <w:numId w:val="4"/>
              </w:numPr>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单体蓄电池内阻的测量</w:t>
            </w:r>
          </w:p>
          <w:p w14:paraId="01B804A9">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单体电池内阻测量步骤（通用方法）</w:t>
            </w:r>
          </w:p>
          <w:p w14:paraId="1ADE83A6">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1.‌测量前准备‌</w:t>
            </w:r>
          </w:p>
          <w:p w14:paraId="72F93174">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（1）‌安全防护‌  佩戴绝缘手套和护目镜，确保电池无漏液、鼓包等异常现象；确认电池处于静置状态（静置1小时以上，避免充放电后直接测量）。</w:t>
            </w:r>
          </w:p>
          <w:p w14:paraId="767874C9">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（2）‌设备选择‌  ‌专用内阻测试仪‌（精度高，推荐使用）见图1-1-5所示。</w:t>
            </w:r>
          </w:p>
          <w:p w14:paraId="4545D067">
            <w:pPr>
              <w:bidi w:val="0"/>
              <w:ind w:left="0" w:leftChars="0" w:firstLine="0" w:firstLineChars="0"/>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376170" cy="2947670"/>
                  <wp:effectExtent l="0" t="0" r="5080" b="5080"/>
                  <wp:docPr id="2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4"/>
                          <pic:cNvPicPr>
                            <a:picLocks noChangeAspect="1"/>
                          </pic:cNvPicPr>
                        </pic:nvPicPr>
                        <pic:blipFill>
                          <a:blip r:embed="rId24"/>
                          <a:stretch>
                            <a:fillRect/>
                          </a:stretch>
                        </pic:blipFill>
                        <pic:spPr>
                          <a:xfrm rot="16200000">
                            <a:off x="0" y="0"/>
                            <a:ext cx="2376170" cy="2947670"/>
                          </a:xfrm>
                          <a:prstGeom prst="rect">
                            <a:avLst/>
                          </a:prstGeom>
                          <a:noFill/>
                          <a:ln>
                            <a:noFill/>
                          </a:ln>
                        </pic:spPr>
                      </pic:pic>
                    </a:graphicData>
                  </a:graphic>
                </wp:inline>
              </w:drawing>
            </w:r>
          </w:p>
          <w:p w14:paraId="46DA8862">
            <w:pPr>
              <w:bidi w:val="0"/>
              <w:ind w:left="0" w:leftChars="0" w:firstLine="0" w:firstLineChars="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图1-1-5 直流放电测试仪</w:t>
            </w:r>
          </w:p>
          <w:p w14:paraId="58AFFC81">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‌交流阻抗法设备‌（如LCR表）或 ‌直流内阻测试仪‌（需注意负载对电池的影响）。见图1-1-6所示。</w:t>
            </w:r>
          </w:p>
          <w:p w14:paraId="7EF7732A">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（3）‌环境条件‌  温度：20°C~25°C（避免极端温度影响测量结果）。</w:t>
            </w:r>
          </w:p>
          <w:p w14:paraId="0CB55284">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2.‌测量操作流程‌</w:t>
            </w:r>
          </w:p>
          <w:p w14:paraId="3504EB45">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‌方法1：交流阻抗法‌</w:t>
            </w:r>
          </w:p>
          <w:p w14:paraId="1DDDEB9C">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（1）‌连接电池‌  将测试仪正负极夹子分别连接电池的正、负极（确保接触良好，避免虚接）。</w:t>
            </w:r>
          </w:p>
          <w:p w14:paraId="19B64090">
            <w:pPr>
              <w:bidi w:val="0"/>
              <w:ind w:left="0" w:leftChars="0" w:firstLine="0" w:firstLineChars="0"/>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5267960" cy="2539365"/>
                  <wp:effectExtent l="0" t="0" r="8890" b="13335"/>
                  <wp:docPr id="2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5"/>
                          <pic:cNvPicPr>
                            <a:picLocks noChangeAspect="1"/>
                          </pic:cNvPicPr>
                        </pic:nvPicPr>
                        <pic:blipFill>
                          <a:blip r:embed="rId25"/>
                          <a:stretch>
                            <a:fillRect/>
                          </a:stretch>
                        </pic:blipFill>
                        <pic:spPr>
                          <a:xfrm>
                            <a:off x="0" y="0"/>
                            <a:ext cx="5267960" cy="2539365"/>
                          </a:xfrm>
                          <a:prstGeom prst="rect">
                            <a:avLst/>
                          </a:prstGeom>
                          <a:noFill/>
                          <a:ln>
                            <a:noFill/>
                          </a:ln>
                        </pic:spPr>
                      </pic:pic>
                    </a:graphicData>
                  </a:graphic>
                </wp:inline>
              </w:drawing>
            </w:r>
          </w:p>
          <w:p w14:paraId="2E70C0F5">
            <w:pPr>
              <w:bidi w:val="0"/>
              <w:ind w:left="0" w:leftChars="0" w:firstLine="0" w:firstLineChars="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图1-1-6  LCR表</w:t>
            </w:r>
          </w:p>
          <w:p w14:paraId="64C7158B">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（2）‌设置参数‌  选择交流测试模式，频率通常为1kHz。</w:t>
            </w:r>
          </w:p>
          <w:p w14:paraId="4EB4EDD5">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（3）‌读取数据‌  启动测试，记录内阻值（单位：mΩ）及电压值。</w:t>
            </w:r>
          </w:p>
          <w:p w14:paraId="76F52549">
            <w:pPr>
              <w:bidi w:val="0"/>
              <w:rPr>
                <w:rFonts w:hint="eastAsia" w:ascii="宋体" w:hAnsi="宋体" w:eastAsia="宋体" w:cs="宋体"/>
                <w:sz w:val="21"/>
                <w:szCs w:val="21"/>
                <w:lang w:val="en-US" w:eastAsia="zh-CN"/>
              </w:rPr>
            </w:pPr>
            <w:r>
              <w:rPr>
                <w:rFonts w:hint="eastAsia" w:ascii="宋体" w:hAnsi="宋体" w:eastAsia="宋体" w:cs="宋体"/>
                <w:b/>
                <w:bCs/>
                <w:sz w:val="21"/>
                <w:szCs w:val="21"/>
                <w:lang w:val="en-US" w:eastAsia="zh-CN"/>
              </w:rPr>
              <w:t>‌方法2：直流放电法</w:t>
            </w:r>
            <w:r>
              <w:rPr>
                <w:rFonts w:hint="eastAsia" w:ascii="宋体" w:hAnsi="宋体" w:eastAsia="宋体" w:cs="宋体"/>
                <w:sz w:val="21"/>
                <w:szCs w:val="21"/>
                <w:lang w:val="en-US" w:eastAsia="zh-CN"/>
              </w:rPr>
              <w:t>‌</w:t>
            </w:r>
          </w:p>
          <w:p w14:paraId="574CEA4D">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（1）‌测量初始电压  ‌使用万用表测量电池开路电压并记录。</w:t>
            </w:r>
          </w:p>
          <w:p w14:paraId="33538E6B">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（2）‌施加负载‌  接入恒定电流负载（如10A，持续2～3秒），同时测量负载下电压（记为V2）。</w:t>
            </w:r>
          </w:p>
          <w:p w14:paraId="77D6B45D">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（3）‌计算内阻‌  内阻 R = (V1 - V2) / 负载电流（需快速操作以减少误差）。</w:t>
            </w:r>
          </w:p>
          <w:p w14:paraId="12554697">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3.‌注意事项‌</w:t>
            </w:r>
          </w:p>
          <w:p w14:paraId="7B71B6B5">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（1）‌安全警示‌  禁止测量破损或高温电池！ 避免测试仪电极短路！</w:t>
            </w:r>
          </w:p>
          <w:p w14:paraId="74139238">
            <w:pPr>
              <w:bidi w:val="0"/>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（2）‌数据解读‌  内阻值需与电池规格书对比（如锂离子电池通常＜100mΩ）。内阻异常升高可能预示老化、干涸或内部故障。</w:t>
            </w:r>
          </w:p>
          <w:p w14:paraId="5F0A515F">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二、锂离子蓄电池的容量分析</w:t>
            </w:r>
          </w:p>
          <w:p w14:paraId="1F4A341B">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在锂离子电池出厂后，由于制造的原因，其容量会有差异，需要对其进行容量分选、性能筛选分级。其方式是通过对蓄电池进行充电放电，来分析锂离子蓄电池的容量，依此进行分组使用，这个过程被称为分容。</w:t>
            </w:r>
          </w:p>
          <w:p w14:paraId="39D9EED5">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对于使用一段时间的锂离子蓄电池，若频繁出现某单体蓄电池电压一直低的情况，可以对其进行容量分析，以确定其与蓄电池额定容量的差异，以判断此时锂离子蓄电池实际的健康状态。</w:t>
            </w:r>
          </w:p>
          <w:p w14:paraId="26F8154C">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1.容量分析过程</w:t>
            </w:r>
          </w:p>
          <w:p w14:paraId="7EFC1BB1">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（1）测量电压  对于需要维修的蓄电池，一定要测量并记下维修时电压，以便维修后进行恢复，使其SOC值与BMS内部的存储基本一致。</w:t>
            </w:r>
          </w:p>
          <w:p w14:paraId="0624F638">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（2）充电  充电可以使用恒流充电或恒压充电，这里要设置到充电截止电压和最大充电电流。</w:t>
            </w:r>
          </w:p>
          <w:p w14:paraId="67188075">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充电截止电压设置：三元锂离子蓄电池——其标称电压为3.6～3.7V，其充电截止电压为4.2V；磷酸铁锂离子蓄电池——其标称电压为3.2V，其充电截止电压为3.65V。</w:t>
            </w:r>
          </w:p>
          <w:p w14:paraId="26109E24">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充电电流的设置：充电电流设置要考虑两个方面，一个是维修设备所允许的电流，一个是蓄电池的容量，一般按0.2C充电。</w:t>
            </w:r>
          </w:p>
          <w:p w14:paraId="67D70EC5">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（3）静置  将蓄电池充到截止电压后静置30分钟以上，以确保蓄电池内部化学物质的稳定。</w:t>
            </w:r>
          </w:p>
          <w:p w14:paraId="012D3D23">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（4）放电  放电可以采用恒流放电或恒阻放电，这里要设置到放电截止电压和放电电流。</w:t>
            </w:r>
          </w:p>
          <w:p w14:paraId="2CBB321B">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放电截止电压设置：三元锂离子蓄电池——其标称电压为3.6～3.7V，其放电截止电压为3.1V；磷酸铁锂离子蓄电池——其标称电压为3.2V，其放电截止电压为2.5V。</w:t>
            </w:r>
          </w:p>
          <w:p w14:paraId="7457616A">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放电电流的设置：放电电流设置要考虑两个方面，一个是维修设备所允许的电流，一个是蓄电池的容量，一般按0.2C充电。</w:t>
            </w:r>
          </w:p>
          <w:p w14:paraId="7C443999">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（5）读取数据  放电结束后即可读取蓄电池的实际容量。</w:t>
            </w:r>
          </w:p>
          <w:p w14:paraId="46B6F534">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（6）恢复电压  读取蓄电池数据后，要恢复到原来电压，这样就可以确保与BMS内存储的SOC值一致。恢复电压我们一般采取统一恢复到原电压的平均值即可。</w:t>
            </w:r>
          </w:p>
          <w:p w14:paraId="5B534EB6">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2.容量分析操作</w:t>
            </w:r>
          </w:p>
          <w:p w14:paraId="210FD350">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在蓄电池维修中，电池均衡修复仪（如图1-1-7所示）均有容量分析功能。</w:t>
            </w:r>
          </w:p>
          <w:p w14:paraId="355617E4">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4091940" cy="2743200"/>
                  <wp:effectExtent l="0" t="0" r="3810" b="0"/>
                  <wp:docPr id="4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pic:cNvPicPr>
                            <a:picLocks noChangeAspect="1"/>
                          </pic:cNvPicPr>
                        </pic:nvPicPr>
                        <pic:blipFill>
                          <a:blip r:embed="rId26"/>
                          <a:stretch>
                            <a:fillRect/>
                          </a:stretch>
                        </pic:blipFill>
                        <pic:spPr>
                          <a:xfrm>
                            <a:off x="0" y="0"/>
                            <a:ext cx="4091940" cy="2743200"/>
                          </a:xfrm>
                          <a:prstGeom prst="rect">
                            <a:avLst/>
                          </a:prstGeom>
                          <a:noFill/>
                          <a:ln>
                            <a:noFill/>
                          </a:ln>
                        </pic:spPr>
                      </pic:pic>
                    </a:graphicData>
                  </a:graphic>
                </wp:inline>
              </w:drawing>
            </w:r>
          </w:p>
          <w:p w14:paraId="4F46110A">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图1-1-7 电池均衡修复仪</w:t>
            </w:r>
          </w:p>
          <w:p w14:paraId="3D2232E3">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其过程如下：</w:t>
            </w:r>
          </w:p>
          <w:p w14:paraId="03D389BC">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（1）将电池夹与蓄电池相连接。</w:t>
            </w:r>
          </w:p>
          <w:p w14:paraId="7FC81AC9">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（2）测量单体电压 对于需要维修的蓄电池，一定要测量并记下维修时电压，以便维修后进行恢复，使其SOC值与BMS基本一致。</w:t>
            </w:r>
          </w:p>
          <w:p w14:paraId="4BD19CB8">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（3）编辑工步  编辑充电工步，以150Ah三元锂离子蓄电池为例，其充电截止电压设置到4200mV，充电电流可以设置到30000mA，考虑到设备实际允许电流，设置到10000mA，如图所示1-1-8所示。</w:t>
            </w:r>
          </w:p>
          <w:p w14:paraId="6BDDD102">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4091940" cy="2647315"/>
                  <wp:effectExtent l="0" t="0" r="3810" b="635"/>
                  <wp:docPr id="4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0"/>
                          <pic:cNvPicPr>
                            <a:picLocks noChangeAspect="1"/>
                          </pic:cNvPicPr>
                        </pic:nvPicPr>
                        <pic:blipFill>
                          <a:blip r:embed="rId27"/>
                          <a:stretch>
                            <a:fillRect/>
                          </a:stretch>
                        </pic:blipFill>
                        <pic:spPr>
                          <a:xfrm>
                            <a:off x="0" y="0"/>
                            <a:ext cx="4091940" cy="2647315"/>
                          </a:xfrm>
                          <a:prstGeom prst="rect">
                            <a:avLst/>
                          </a:prstGeom>
                          <a:noFill/>
                          <a:ln>
                            <a:noFill/>
                          </a:ln>
                        </pic:spPr>
                      </pic:pic>
                    </a:graphicData>
                  </a:graphic>
                </wp:inline>
              </w:drawing>
            </w:r>
          </w:p>
          <w:p w14:paraId="2F75AB22">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图1-1-8 编辑充电工序</w:t>
            </w:r>
          </w:p>
          <w:p w14:paraId="280AC828">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编辑放电工步，以150Ah三元锂离子蓄电池为例，其充电截止电压设置到3100mV，充电电流可以设置到30000mA，考虑到设备实际允许电流，设置到10000mA，如图1-1-9所示。</w:t>
            </w:r>
          </w:p>
          <w:p w14:paraId="32054C4B">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5163185" cy="3312160"/>
                  <wp:effectExtent l="0" t="0" r="18415" b="2540"/>
                  <wp:docPr id="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1"/>
                          <pic:cNvPicPr>
                            <a:picLocks noChangeAspect="1"/>
                          </pic:cNvPicPr>
                        </pic:nvPicPr>
                        <pic:blipFill>
                          <a:blip r:embed="rId28"/>
                          <a:stretch>
                            <a:fillRect/>
                          </a:stretch>
                        </pic:blipFill>
                        <pic:spPr>
                          <a:xfrm>
                            <a:off x="0" y="0"/>
                            <a:ext cx="5163185" cy="3312160"/>
                          </a:xfrm>
                          <a:prstGeom prst="rect">
                            <a:avLst/>
                          </a:prstGeom>
                          <a:noFill/>
                          <a:ln>
                            <a:noFill/>
                          </a:ln>
                        </pic:spPr>
                      </pic:pic>
                    </a:graphicData>
                  </a:graphic>
                </wp:inline>
              </w:drawing>
            </w:r>
          </w:p>
          <w:p w14:paraId="316770AE">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图1-1-9 编辑放电工序</w:t>
            </w:r>
          </w:p>
          <w:p w14:paraId="0E6C0CF8">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恢复电压同步，进行充电，充电至其平均电压值3900mV。其充电截止电压设置到3900mV，充电电流可以设置到30000mA，考虑到设备实际允许电流，设置到10000mA，如图1-1-10所示。</w:t>
            </w:r>
          </w:p>
          <w:p w14:paraId="1016334A">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5052060" cy="3145790"/>
                  <wp:effectExtent l="0" t="0" r="15240" b="16510"/>
                  <wp:docPr id="4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pic:cNvPicPr>
                            <a:picLocks noChangeAspect="1"/>
                          </pic:cNvPicPr>
                        </pic:nvPicPr>
                        <pic:blipFill>
                          <a:blip r:embed="rId29"/>
                          <a:stretch>
                            <a:fillRect/>
                          </a:stretch>
                        </pic:blipFill>
                        <pic:spPr>
                          <a:xfrm>
                            <a:off x="0" y="0"/>
                            <a:ext cx="5052060" cy="3145790"/>
                          </a:xfrm>
                          <a:prstGeom prst="rect">
                            <a:avLst/>
                          </a:prstGeom>
                          <a:noFill/>
                          <a:ln>
                            <a:noFill/>
                          </a:ln>
                        </pic:spPr>
                      </pic:pic>
                    </a:graphicData>
                  </a:graphic>
                </wp:inline>
              </w:drawing>
            </w:r>
          </w:p>
          <w:p w14:paraId="5C46FB53">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图1-1-10 编辑恢复电压工步</w:t>
            </w:r>
          </w:p>
          <w:p w14:paraId="6F9AD4A3">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（4）充电  选择充电同步（如图1-1-11所示）进行充电，充电运行中，屏幕显示充电时的电压变化和充电电流，如图1-1-12所示。充电过程中的蓄电池充电指示灯点亮，当蓄电池充到截止电压时，该蓄电池对应的充电指示灯熄灭。图1-1-13显示的为1、3号蓄电池处于充电状态，2、4、5号蓄电池处于充满状态的仪器指示灯指示状态。</w:t>
            </w:r>
          </w:p>
          <w:p w14:paraId="1E92FF7F">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5415280" cy="3380105"/>
                  <wp:effectExtent l="0" t="0" r="13970" b="10795"/>
                  <wp:docPr id="4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3"/>
                          <pic:cNvPicPr>
                            <a:picLocks noChangeAspect="1"/>
                          </pic:cNvPicPr>
                        </pic:nvPicPr>
                        <pic:blipFill>
                          <a:blip r:embed="rId30"/>
                          <a:stretch>
                            <a:fillRect/>
                          </a:stretch>
                        </pic:blipFill>
                        <pic:spPr>
                          <a:xfrm>
                            <a:off x="0" y="0"/>
                            <a:ext cx="5415280" cy="3380105"/>
                          </a:xfrm>
                          <a:prstGeom prst="rect">
                            <a:avLst/>
                          </a:prstGeom>
                          <a:noFill/>
                          <a:ln>
                            <a:noFill/>
                          </a:ln>
                        </pic:spPr>
                      </pic:pic>
                    </a:graphicData>
                  </a:graphic>
                </wp:inline>
              </w:drawing>
            </w:r>
          </w:p>
          <w:p w14:paraId="6512E795">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图1-1-11 选择充电工序</w:t>
            </w:r>
          </w:p>
          <w:p w14:paraId="32759FCD">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5552440" cy="3489960"/>
                  <wp:effectExtent l="0" t="0" r="10160" b="15240"/>
                  <wp:docPr id="4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4"/>
                          <pic:cNvPicPr>
                            <a:picLocks noChangeAspect="1"/>
                          </pic:cNvPicPr>
                        </pic:nvPicPr>
                        <pic:blipFill>
                          <a:blip r:embed="rId31"/>
                          <a:stretch>
                            <a:fillRect/>
                          </a:stretch>
                        </pic:blipFill>
                        <pic:spPr>
                          <a:xfrm>
                            <a:off x="0" y="0"/>
                            <a:ext cx="5552440" cy="3489960"/>
                          </a:xfrm>
                          <a:prstGeom prst="rect">
                            <a:avLst/>
                          </a:prstGeom>
                          <a:noFill/>
                          <a:ln>
                            <a:noFill/>
                          </a:ln>
                        </pic:spPr>
                      </pic:pic>
                    </a:graphicData>
                  </a:graphic>
                </wp:inline>
              </w:drawing>
            </w:r>
          </w:p>
          <w:p w14:paraId="5E6A28CA">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图1-1-12 充电和截止屏幕显示</w:t>
            </w:r>
          </w:p>
          <w:p w14:paraId="26FBBD60">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5372100" cy="2363470"/>
                  <wp:effectExtent l="0" t="0" r="0" b="17780"/>
                  <wp:docPr id="4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5"/>
                          <pic:cNvPicPr>
                            <a:picLocks noChangeAspect="1"/>
                          </pic:cNvPicPr>
                        </pic:nvPicPr>
                        <pic:blipFill>
                          <a:blip r:embed="rId32"/>
                          <a:stretch>
                            <a:fillRect/>
                          </a:stretch>
                        </pic:blipFill>
                        <pic:spPr>
                          <a:xfrm>
                            <a:off x="0" y="0"/>
                            <a:ext cx="5372100" cy="2363470"/>
                          </a:xfrm>
                          <a:prstGeom prst="rect">
                            <a:avLst/>
                          </a:prstGeom>
                          <a:noFill/>
                          <a:ln>
                            <a:noFill/>
                          </a:ln>
                        </pic:spPr>
                      </pic:pic>
                    </a:graphicData>
                  </a:graphic>
                </wp:inline>
              </w:drawing>
            </w:r>
          </w:p>
          <w:p w14:paraId="619CA0A7">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图1-1-13 充电和截止屏幕显示指示灯显示</w:t>
            </w:r>
          </w:p>
          <w:p w14:paraId="4927442F">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（5）静置  当所有蓄电池充电完毕后，静置30分钟以上。</w:t>
            </w:r>
          </w:p>
          <w:p w14:paraId="25B6F797">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（6）放电 选择放电同步（如图1-1-14所示）进行放电，充电运行中，屏幕显示放电时的电压变化和放电电流，如图1-1-15所示。放电过程中的蓄电池充电指示灯点亮，当蓄电池放到截止电压时，该蓄电池对应的放电指示灯熄灭。图1-1-16显示的为1、3、5号蓄电池处于放电状态，2、4号蓄电池处于放完状态的屏幕显示状态和仪器指示灯指示状态。</w:t>
            </w:r>
          </w:p>
          <w:p w14:paraId="1644123B">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auto"/>
                <w:sz w:val="21"/>
                <w:szCs w:val="21"/>
                <w:lang w:val="en-US"/>
              </w:rPr>
              <w:drawing>
                <wp:inline distT="0" distB="0" distL="114300" distR="114300">
                  <wp:extent cx="5372100" cy="3323590"/>
                  <wp:effectExtent l="0" t="0" r="0" b="10160"/>
                  <wp:docPr id="4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6"/>
                          <pic:cNvPicPr>
                            <a:picLocks noChangeAspect="1"/>
                          </pic:cNvPicPr>
                        </pic:nvPicPr>
                        <pic:blipFill>
                          <a:blip r:embed="rId33"/>
                          <a:stretch>
                            <a:fillRect/>
                          </a:stretch>
                        </pic:blipFill>
                        <pic:spPr>
                          <a:xfrm>
                            <a:off x="0" y="0"/>
                            <a:ext cx="5372100" cy="3323590"/>
                          </a:xfrm>
                          <a:prstGeom prst="rect">
                            <a:avLst/>
                          </a:prstGeom>
                          <a:noFill/>
                          <a:ln>
                            <a:noFill/>
                          </a:ln>
                        </pic:spPr>
                      </pic:pic>
                    </a:graphicData>
                  </a:graphic>
                </wp:inline>
              </w:drawing>
            </w:r>
          </w:p>
          <w:p w14:paraId="53F1752D">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图1-1-14 选择放电工步</w:t>
            </w:r>
          </w:p>
          <w:p w14:paraId="6EE26221">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（7）读数 当蓄电池放电结束后，即可读出蓄电池的实际容量。从图1-22中我们可以读出2号和4号的蓄电池的容量读数为123.49Ah和126.781Ah，相对于其额定150Ah，其检测容量约为核定容量的80%和84%，已经接近蓄电池的寿命终结状态。</w:t>
            </w:r>
          </w:p>
          <w:p w14:paraId="2583D0F4">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auto"/>
                <w:sz w:val="21"/>
                <w:szCs w:val="21"/>
                <w:lang w:val="en-US"/>
              </w:rPr>
              <w:drawing>
                <wp:inline distT="0" distB="0" distL="114300" distR="114300">
                  <wp:extent cx="4140200" cy="2587625"/>
                  <wp:effectExtent l="0" t="0" r="12700" b="3175"/>
                  <wp:docPr id="4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34"/>
                          <a:stretch>
                            <a:fillRect/>
                          </a:stretch>
                        </pic:blipFill>
                        <pic:spPr>
                          <a:xfrm>
                            <a:off x="0" y="0"/>
                            <a:ext cx="4140200" cy="2587625"/>
                          </a:xfrm>
                          <a:prstGeom prst="rect">
                            <a:avLst/>
                          </a:prstGeom>
                          <a:noFill/>
                          <a:ln>
                            <a:noFill/>
                          </a:ln>
                        </pic:spPr>
                      </pic:pic>
                    </a:graphicData>
                  </a:graphic>
                </wp:inline>
              </w:drawing>
            </w:r>
          </w:p>
          <w:p w14:paraId="0B5ACB14">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图1-1-15 放电和截止屏幕显示</w:t>
            </w:r>
          </w:p>
          <w:p w14:paraId="56B2F571">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auto"/>
                <w:sz w:val="21"/>
                <w:szCs w:val="21"/>
                <w:lang w:val="en-US"/>
              </w:rPr>
              <w:drawing>
                <wp:inline distT="0" distB="0" distL="114300" distR="114300">
                  <wp:extent cx="4142740" cy="1664970"/>
                  <wp:effectExtent l="0" t="0" r="10160" b="11430"/>
                  <wp:docPr id="4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8"/>
                          <pic:cNvPicPr>
                            <a:picLocks noChangeAspect="1"/>
                          </pic:cNvPicPr>
                        </pic:nvPicPr>
                        <pic:blipFill>
                          <a:blip r:embed="rId35"/>
                          <a:stretch>
                            <a:fillRect/>
                          </a:stretch>
                        </pic:blipFill>
                        <pic:spPr>
                          <a:xfrm>
                            <a:off x="0" y="0"/>
                            <a:ext cx="4142740" cy="1664970"/>
                          </a:xfrm>
                          <a:prstGeom prst="rect">
                            <a:avLst/>
                          </a:prstGeom>
                          <a:noFill/>
                          <a:ln>
                            <a:noFill/>
                          </a:ln>
                        </pic:spPr>
                      </pic:pic>
                    </a:graphicData>
                  </a:graphic>
                </wp:inline>
              </w:drawing>
            </w:r>
          </w:p>
          <w:p w14:paraId="35373B4F">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图1-1-16 放电和截止时指示灯显示</w:t>
            </w:r>
          </w:p>
          <w:p w14:paraId="742706FD">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（8）充电至原电压的平均电压值   选择恢复电压工步进行充电，如图1-1-17所示。当蓄电池充到所设定的平均电压时，该蓄电池对应的充电指示灯熄灭，充电完成。</w:t>
            </w:r>
          </w:p>
          <w:p w14:paraId="019E76F1">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4327525" cy="2680335"/>
                  <wp:effectExtent l="0" t="0" r="15875" b="5715"/>
                  <wp:docPr id="5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9"/>
                          <pic:cNvPicPr>
                            <a:picLocks noChangeAspect="1"/>
                          </pic:cNvPicPr>
                        </pic:nvPicPr>
                        <pic:blipFill>
                          <a:blip r:embed="rId36"/>
                          <a:stretch>
                            <a:fillRect/>
                          </a:stretch>
                        </pic:blipFill>
                        <pic:spPr>
                          <a:xfrm>
                            <a:off x="0" y="0"/>
                            <a:ext cx="4327525" cy="2680335"/>
                          </a:xfrm>
                          <a:prstGeom prst="rect">
                            <a:avLst/>
                          </a:prstGeom>
                          <a:noFill/>
                          <a:ln>
                            <a:noFill/>
                          </a:ln>
                        </pic:spPr>
                      </pic:pic>
                    </a:graphicData>
                  </a:graphic>
                </wp:inline>
              </w:drawing>
            </w:r>
          </w:p>
        </w:tc>
      </w:tr>
      <w:tr w14:paraId="7BEE6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3D539C9A">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3.课后拓展</w:t>
            </w:r>
          </w:p>
          <w:p w14:paraId="137E78BA">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（1）学员的课后体会</w:t>
            </w:r>
          </w:p>
          <w:p w14:paraId="45955C5F">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（2）课后练习题</w:t>
            </w:r>
          </w:p>
          <w:p w14:paraId="3E7A8C45">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（3）预习新课程</w:t>
            </w:r>
          </w:p>
        </w:tc>
      </w:tr>
    </w:tbl>
    <w:p w14:paraId="55EB4D7E">
      <w:pPr>
        <w:rPr>
          <w:rFonts w:hint="eastAsia" w:ascii="宋体" w:hAnsi="宋体" w:eastAsia="宋体" w:cs="宋体"/>
          <w:color w:val="000000" w:themeColor="text1"/>
          <w:highlight w:val="yellow"/>
          <w:lang w:val="en-US" w:eastAsia="zh-CN"/>
          <w14:textFill>
            <w14:solidFill>
              <w14:schemeClr w14:val="tx1"/>
            </w14:solidFill>
          </w14:textFill>
        </w:rPr>
      </w:pPr>
    </w:p>
    <w:p w14:paraId="1864F1F5">
      <w:pPr>
        <w:bidi w:val="0"/>
        <w:rPr>
          <w:rFonts w:hint="eastAsia"/>
        </w:rPr>
      </w:pPr>
    </w:p>
    <w:bookmarkEnd w:id="0"/>
    <w:p w14:paraId="12584053">
      <w:pPr>
        <w:pStyle w:val="3"/>
        <w:bidi w:val="0"/>
        <w:rPr>
          <w:rFonts w:hint="eastAsia" w:eastAsia="微软雅黑"/>
          <w:spacing w:val="2"/>
          <w:lang w:val="en-US" w:eastAsia="zh-CN"/>
        </w:rPr>
      </w:pPr>
      <w:bookmarkStart w:id="2" w:name="_GoBack"/>
      <w:bookmarkEnd w:id="2"/>
      <w:r>
        <w:rPr>
          <w:rFonts w:hint="eastAsia"/>
        </w:rPr>
        <w:t>任务</w:t>
      </w:r>
      <w:r>
        <w:rPr>
          <w:rFonts w:hint="eastAsia"/>
          <w:lang w:val="en-US" w:eastAsia="zh-CN"/>
        </w:rPr>
        <w:t>三</w:t>
      </w:r>
      <w:r>
        <w:rPr>
          <w:rFonts w:hint="eastAsia"/>
        </w:rPr>
        <w:t xml:space="preserve"> </w:t>
      </w:r>
      <w:r>
        <w:rPr>
          <w:rFonts w:hint="eastAsia"/>
          <w:spacing w:val="2"/>
          <w:lang w:val="en-US" w:eastAsia="zh-CN"/>
        </w:rPr>
        <w:t>高压电池的输出控制</w:t>
      </w:r>
    </w:p>
    <w:tbl>
      <w:tblPr>
        <w:tblStyle w:val="9"/>
        <w:tblW w:w="500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27"/>
        <w:gridCol w:w="1505"/>
        <w:gridCol w:w="1397"/>
        <w:gridCol w:w="1255"/>
        <w:gridCol w:w="378"/>
        <w:gridCol w:w="2866"/>
      </w:tblGrid>
      <w:tr w14:paraId="1F8D6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60" w:type="pct"/>
            <w:shd w:val="clear" w:color="auto" w:fill="auto"/>
            <w:vAlign w:val="center"/>
          </w:tcPr>
          <w:p w14:paraId="7EE0A05B">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授课课程</w:t>
            </w:r>
          </w:p>
        </w:tc>
        <w:tc>
          <w:tcPr>
            <w:tcW w:w="1701" w:type="pct"/>
            <w:gridSpan w:val="2"/>
            <w:shd w:val="clear" w:color="auto" w:fill="auto"/>
            <w:vAlign w:val="center"/>
          </w:tcPr>
          <w:p w14:paraId="7412EFEC">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新能源汽车动力电池及管理系统检修</w:t>
            </w:r>
          </w:p>
        </w:tc>
        <w:tc>
          <w:tcPr>
            <w:tcW w:w="735" w:type="pct"/>
            <w:shd w:val="clear" w:color="auto" w:fill="auto"/>
            <w:vAlign w:val="center"/>
          </w:tcPr>
          <w:p w14:paraId="32768BDA">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建议</w:t>
            </w:r>
            <w:r>
              <w:rPr>
                <w:rFonts w:hint="eastAsia" w:ascii="宋体" w:hAnsi="宋体" w:eastAsia="宋体" w:cs="宋体"/>
                <w:color w:val="000000" w:themeColor="text1"/>
                <w:sz w:val="21"/>
                <w:szCs w:val="21"/>
                <w14:textFill>
                  <w14:solidFill>
                    <w14:schemeClr w14:val="tx1"/>
                  </w14:solidFill>
                </w14:textFill>
              </w:rPr>
              <w:t>课时</w:t>
            </w:r>
          </w:p>
        </w:tc>
        <w:tc>
          <w:tcPr>
            <w:tcW w:w="1901" w:type="pct"/>
            <w:gridSpan w:val="2"/>
            <w:shd w:val="clear" w:color="auto" w:fill="auto"/>
            <w:vAlign w:val="center"/>
          </w:tcPr>
          <w:p w14:paraId="35AA749D">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8</w:t>
            </w:r>
            <w:r>
              <w:rPr>
                <w:rFonts w:hint="eastAsia" w:ascii="宋体" w:hAnsi="宋体" w:eastAsia="宋体" w:cs="宋体"/>
                <w:color w:val="000000" w:themeColor="text1"/>
                <w:sz w:val="21"/>
                <w:szCs w:val="21"/>
                <w14:textFill>
                  <w14:solidFill>
                    <w14:schemeClr w14:val="tx1"/>
                  </w14:solidFill>
                </w14:textFill>
              </w:rPr>
              <w:t>课时</w:t>
            </w:r>
          </w:p>
        </w:tc>
      </w:tr>
      <w:tr w14:paraId="4A9C6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60" w:type="pct"/>
            <w:shd w:val="clear" w:color="auto" w:fill="auto"/>
            <w:vAlign w:val="center"/>
          </w:tcPr>
          <w:p w14:paraId="781BBF76">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授课内容</w:t>
            </w:r>
          </w:p>
        </w:tc>
        <w:tc>
          <w:tcPr>
            <w:tcW w:w="1701" w:type="pct"/>
            <w:gridSpan w:val="2"/>
            <w:shd w:val="clear" w:color="auto" w:fill="auto"/>
            <w:vAlign w:val="center"/>
          </w:tcPr>
          <w:p w14:paraId="7CB991A4">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任务</w:t>
            </w:r>
            <w:r>
              <w:rPr>
                <w:rFonts w:hint="eastAsia" w:ascii="宋体" w:hAnsi="宋体" w:eastAsia="宋体" w:cs="宋体"/>
                <w:color w:val="000000" w:themeColor="text1"/>
                <w:sz w:val="21"/>
                <w:szCs w:val="21"/>
                <w:lang w:val="en-US" w:eastAsia="zh-CN"/>
                <w14:textFill>
                  <w14:solidFill>
                    <w14:schemeClr w14:val="tx1"/>
                  </w14:solidFill>
                </w14:textFill>
              </w:rPr>
              <w:t>三 高压电池的输出控制</w:t>
            </w:r>
          </w:p>
        </w:tc>
        <w:tc>
          <w:tcPr>
            <w:tcW w:w="735" w:type="pct"/>
            <w:shd w:val="clear" w:color="auto" w:fill="auto"/>
            <w:vAlign w:val="center"/>
          </w:tcPr>
          <w:p w14:paraId="3E446770">
            <w:pPr>
              <w:bidi w:val="0"/>
              <w:spacing w:line="360" w:lineRule="auto"/>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w:t>
            </w:r>
            <w:r>
              <w:rPr>
                <w:rFonts w:hint="eastAsia" w:ascii="宋体" w:hAnsi="宋体" w:eastAsia="宋体" w:cs="宋体"/>
                <w:color w:val="000000" w:themeColor="text1"/>
                <w:sz w:val="21"/>
                <w:szCs w:val="21"/>
                <w:lang w:val="en-US" w:eastAsia="zh-CN"/>
                <w14:textFill>
                  <w14:solidFill>
                    <w14:schemeClr w14:val="tx1"/>
                  </w14:solidFill>
                </w14:textFill>
              </w:rPr>
              <w:t>对象</w:t>
            </w:r>
          </w:p>
        </w:tc>
        <w:tc>
          <w:tcPr>
            <w:tcW w:w="1901" w:type="pct"/>
            <w:gridSpan w:val="2"/>
            <w:shd w:val="clear" w:color="auto" w:fill="auto"/>
            <w:vAlign w:val="center"/>
          </w:tcPr>
          <w:p w14:paraId="1FF9600F">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新能源汽车</w:t>
            </w:r>
            <w:r>
              <w:rPr>
                <w:rFonts w:hint="eastAsia" w:ascii="宋体" w:hAnsi="宋体" w:eastAsia="宋体" w:cs="宋体"/>
                <w:sz w:val="21"/>
                <w:szCs w:val="21"/>
                <w:lang w:val="en-US" w:eastAsia="zh-CN"/>
              </w:rPr>
              <w:t>运用与维修</w:t>
            </w:r>
            <w:r>
              <w:rPr>
                <w:rFonts w:hint="eastAsia" w:ascii="宋体" w:hAnsi="宋体" w:eastAsia="宋体" w:cs="宋体"/>
                <w:color w:val="000000" w:themeColor="text1"/>
                <w:sz w:val="21"/>
                <w:szCs w:val="21"/>
                <w:lang w:val="en-US" w:eastAsia="zh-CN"/>
                <w14:textFill>
                  <w14:solidFill>
                    <w14:schemeClr w14:val="tx1"/>
                  </w14:solidFill>
                </w14:textFill>
              </w:rPr>
              <w:t>班级</w:t>
            </w:r>
          </w:p>
        </w:tc>
      </w:tr>
      <w:tr w14:paraId="41CB2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60" w:type="pct"/>
            <w:shd w:val="clear" w:color="auto" w:fill="auto"/>
            <w:vAlign w:val="center"/>
          </w:tcPr>
          <w:p w14:paraId="48D798F5">
            <w:pPr>
              <w:bidi w:val="0"/>
              <w:spacing w:line="360" w:lineRule="auto"/>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w:t>
            </w:r>
            <w:r>
              <w:rPr>
                <w:rFonts w:hint="eastAsia" w:ascii="宋体" w:hAnsi="宋体" w:eastAsia="宋体" w:cs="宋体"/>
                <w:color w:val="000000" w:themeColor="text1"/>
                <w:sz w:val="21"/>
                <w:szCs w:val="21"/>
                <w:lang w:val="en-US" w:eastAsia="zh-CN"/>
                <w14:textFill>
                  <w14:solidFill>
                    <w14:schemeClr w14:val="tx1"/>
                  </w14:solidFill>
                </w14:textFill>
              </w:rPr>
              <w:t>专业</w:t>
            </w:r>
          </w:p>
        </w:tc>
        <w:tc>
          <w:tcPr>
            <w:tcW w:w="1701" w:type="pct"/>
            <w:gridSpan w:val="2"/>
            <w:shd w:val="clear" w:color="auto" w:fill="auto"/>
            <w:vAlign w:val="center"/>
          </w:tcPr>
          <w:p w14:paraId="4BBE0096">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sz w:val="21"/>
                <w:szCs w:val="21"/>
              </w:rPr>
              <w:t>新能源汽车</w:t>
            </w:r>
            <w:r>
              <w:rPr>
                <w:rFonts w:hint="eastAsia" w:ascii="宋体" w:hAnsi="宋体" w:eastAsia="宋体" w:cs="宋体"/>
                <w:sz w:val="21"/>
                <w:szCs w:val="21"/>
                <w:lang w:val="en-US" w:eastAsia="zh-CN"/>
              </w:rPr>
              <w:t>运用与维修</w:t>
            </w:r>
            <w:r>
              <w:rPr>
                <w:rFonts w:hint="eastAsia" w:ascii="宋体" w:hAnsi="宋体" w:eastAsia="宋体" w:cs="宋体"/>
                <w:color w:val="000000" w:themeColor="text1"/>
                <w:sz w:val="21"/>
                <w:szCs w:val="21"/>
                <w14:textFill>
                  <w14:solidFill>
                    <w14:schemeClr w14:val="tx1"/>
                  </w14:solidFill>
                </w14:textFill>
              </w:rPr>
              <w:t>专业</w:t>
            </w:r>
          </w:p>
        </w:tc>
        <w:tc>
          <w:tcPr>
            <w:tcW w:w="735" w:type="pct"/>
            <w:shd w:val="clear" w:color="auto" w:fill="auto"/>
            <w:vAlign w:val="center"/>
          </w:tcPr>
          <w:p w14:paraId="6F731B97">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授课地点</w:t>
            </w:r>
          </w:p>
        </w:tc>
        <w:tc>
          <w:tcPr>
            <w:tcW w:w="1901" w:type="pct"/>
            <w:gridSpan w:val="2"/>
            <w:shd w:val="clear" w:color="auto" w:fill="auto"/>
            <w:vAlign w:val="center"/>
          </w:tcPr>
          <w:p w14:paraId="5C6ACB43">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p>
        </w:tc>
      </w:tr>
      <w:tr w14:paraId="73331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60" w:type="pct"/>
            <w:shd w:val="clear" w:color="auto" w:fill="auto"/>
            <w:vAlign w:val="center"/>
          </w:tcPr>
          <w:p w14:paraId="1C75007B">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选用教材</w:t>
            </w:r>
          </w:p>
        </w:tc>
        <w:tc>
          <w:tcPr>
            <w:tcW w:w="4339" w:type="pct"/>
            <w:gridSpan w:val="5"/>
            <w:shd w:val="clear" w:color="auto" w:fill="auto"/>
            <w:vAlign w:val="center"/>
          </w:tcPr>
          <w:p w14:paraId="0DEC1DBC">
            <w:pPr>
              <w:bidi w:val="0"/>
              <w:spacing w:line="360" w:lineRule="auto"/>
              <w:rPr>
                <w:rFonts w:hint="eastAsia" w:ascii="宋体" w:hAnsi="宋体" w:eastAsia="宋体" w:cs="宋体"/>
                <w:color w:val="000000" w:themeColor="text1"/>
                <w:sz w:val="21"/>
                <w:szCs w:val="21"/>
                <w14:textFill>
                  <w14:solidFill>
                    <w14:schemeClr w14:val="tx1"/>
                  </w14:solidFill>
                </w14:textFill>
              </w:rPr>
            </w:pPr>
          </w:p>
        </w:tc>
      </w:tr>
      <w:tr w14:paraId="46C2F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7" w:hRule="atLeast"/>
          <w:jc w:val="center"/>
        </w:trPr>
        <w:tc>
          <w:tcPr>
            <w:tcW w:w="5000" w:type="pct"/>
            <w:gridSpan w:val="6"/>
            <w:shd w:val="clear" w:color="auto" w:fill="auto"/>
            <w:vAlign w:val="center"/>
          </w:tcPr>
          <w:p w14:paraId="2AAA782E">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教学目标</w:t>
            </w:r>
          </w:p>
        </w:tc>
      </w:tr>
      <w:tr w14:paraId="19381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543" w:type="pct"/>
            <w:gridSpan w:val="2"/>
            <w:shd w:val="clear" w:color="auto" w:fill="auto"/>
            <w:vAlign w:val="center"/>
          </w:tcPr>
          <w:p w14:paraId="7A6B3AB5">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知识</w:t>
            </w:r>
            <w:r>
              <w:rPr>
                <w:rFonts w:hint="eastAsia" w:ascii="宋体" w:hAnsi="宋体" w:eastAsia="宋体" w:cs="宋体"/>
                <w:color w:val="000000" w:themeColor="text1"/>
                <w:sz w:val="21"/>
                <w:szCs w:val="21"/>
                <w14:textFill>
                  <w14:solidFill>
                    <w14:schemeClr w14:val="tx1"/>
                  </w14:solidFill>
                </w14:textFill>
              </w:rPr>
              <w:t>目标</w:t>
            </w:r>
          </w:p>
        </w:tc>
        <w:tc>
          <w:tcPr>
            <w:tcW w:w="1776" w:type="pct"/>
            <w:gridSpan w:val="3"/>
            <w:shd w:val="clear" w:color="auto" w:fill="auto"/>
            <w:vAlign w:val="center"/>
          </w:tcPr>
          <w:p w14:paraId="211CAA25">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能力</w:t>
            </w:r>
            <w:r>
              <w:rPr>
                <w:rFonts w:hint="eastAsia" w:ascii="宋体" w:hAnsi="宋体" w:eastAsia="宋体" w:cs="宋体"/>
                <w:color w:val="000000" w:themeColor="text1"/>
                <w:sz w:val="21"/>
                <w:szCs w:val="21"/>
                <w14:textFill>
                  <w14:solidFill>
                    <w14:schemeClr w14:val="tx1"/>
                  </w14:solidFill>
                </w14:textFill>
              </w:rPr>
              <w:t>目标</w:t>
            </w:r>
          </w:p>
        </w:tc>
        <w:tc>
          <w:tcPr>
            <w:tcW w:w="1680" w:type="pct"/>
            <w:shd w:val="clear" w:color="auto" w:fill="auto"/>
            <w:vAlign w:val="center"/>
          </w:tcPr>
          <w:p w14:paraId="58FAACD9">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素质</w:t>
            </w:r>
            <w:r>
              <w:rPr>
                <w:rFonts w:hint="eastAsia" w:ascii="宋体" w:hAnsi="宋体" w:eastAsia="宋体" w:cs="宋体"/>
                <w:color w:val="000000" w:themeColor="text1"/>
                <w:sz w:val="21"/>
                <w:szCs w:val="21"/>
                <w14:textFill>
                  <w14:solidFill>
                    <w14:schemeClr w14:val="tx1"/>
                  </w14:solidFill>
                </w14:textFill>
              </w:rPr>
              <w:t>目标</w:t>
            </w:r>
          </w:p>
        </w:tc>
      </w:tr>
      <w:tr w14:paraId="143D7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25" w:hRule="atLeast"/>
          <w:jc w:val="center"/>
        </w:trPr>
        <w:tc>
          <w:tcPr>
            <w:tcW w:w="1543" w:type="pct"/>
            <w:gridSpan w:val="2"/>
            <w:shd w:val="clear" w:color="auto" w:fill="auto"/>
            <w:vAlign w:val="center"/>
          </w:tcPr>
          <w:p w14:paraId="5C64E300">
            <w:p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1.掌握</w:t>
            </w:r>
            <w:r>
              <w:rPr>
                <w:rFonts w:hint="eastAsia" w:ascii="宋体" w:hAnsi="宋体" w:eastAsia="宋体" w:cs="宋体"/>
                <w:sz w:val="21"/>
                <w:szCs w:val="21"/>
                <w:lang w:eastAsia="zh-CN"/>
              </w:rPr>
              <w:t>动力蓄电池</w:t>
            </w:r>
            <w:r>
              <w:rPr>
                <w:rFonts w:hint="eastAsia" w:ascii="宋体" w:hAnsi="宋体" w:eastAsia="宋体" w:cs="宋体"/>
                <w:sz w:val="21"/>
                <w:szCs w:val="21"/>
              </w:rPr>
              <w:t>的</w:t>
            </w:r>
            <w:r>
              <w:rPr>
                <w:rFonts w:hint="eastAsia" w:ascii="宋体" w:hAnsi="宋体" w:eastAsia="宋体" w:cs="宋体"/>
                <w:sz w:val="21"/>
                <w:szCs w:val="21"/>
                <w:lang w:eastAsia="zh-CN"/>
              </w:rPr>
              <w:t>内部高压配电单元</w:t>
            </w:r>
            <w:r>
              <w:rPr>
                <w:rFonts w:hint="eastAsia" w:ascii="宋体" w:hAnsi="宋体" w:eastAsia="宋体" w:cs="宋体"/>
                <w:sz w:val="21"/>
                <w:szCs w:val="21"/>
              </w:rPr>
              <w:t>的结构</w:t>
            </w:r>
            <w:r>
              <w:rPr>
                <w:rFonts w:hint="eastAsia" w:ascii="宋体" w:hAnsi="宋体" w:eastAsia="宋体" w:cs="宋体"/>
                <w:sz w:val="21"/>
                <w:szCs w:val="21"/>
                <w:lang w:val="en-US" w:eastAsia="zh-CN"/>
              </w:rPr>
              <w:t>原理</w:t>
            </w:r>
          </w:p>
          <w:p w14:paraId="5BD8D631">
            <w:pPr>
              <w:spacing w:line="360" w:lineRule="auto"/>
              <w:rPr>
                <w:rFonts w:hint="eastAsia" w:ascii="宋体" w:hAnsi="宋体" w:eastAsia="宋体" w:cs="宋体"/>
                <w:sz w:val="21"/>
                <w:szCs w:val="21"/>
              </w:rPr>
            </w:pPr>
            <w:r>
              <w:rPr>
                <w:rFonts w:hint="eastAsia" w:ascii="宋体" w:hAnsi="宋体" w:eastAsia="宋体" w:cs="宋体"/>
                <w:sz w:val="21"/>
                <w:szCs w:val="21"/>
                <w:lang w:val="en-US" w:eastAsia="zh-CN"/>
              </w:rPr>
              <w:t>2.掌握</w:t>
            </w:r>
            <w:r>
              <w:rPr>
                <w:rFonts w:hint="eastAsia" w:ascii="宋体" w:hAnsi="宋体" w:eastAsia="宋体" w:cs="宋体"/>
                <w:sz w:val="21"/>
                <w:szCs w:val="21"/>
              </w:rPr>
              <w:t>直流接触器的结构</w:t>
            </w:r>
          </w:p>
          <w:p w14:paraId="1978B597">
            <w:pPr>
              <w:spacing w:line="360" w:lineRule="auto"/>
              <w:rPr>
                <w:rFonts w:hint="eastAsia" w:ascii="宋体" w:hAnsi="宋体" w:eastAsia="宋体" w:cs="宋体"/>
                <w:sz w:val="21"/>
                <w:szCs w:val="21"/>
              </w:rPr>
            </w:pPr>
            <w:r>
              <w:rPr>
                <w:rFonts w:hint="eastAsia" w:ascii="宋体" w:hAnsi="宋体" w:eastAsia="宋体" w:cs="宋体"/>
                <w:sz w:val="21"/>
                <w:szCs w:val="21"/>
                <w:lang w:val="en-US" w:eastAsia="zh-CN"/>
              </w:rPr>
              <w:t>3.掌握</w:t>
            </w:r>
            <w:r>
              <w:rPr>
                <w:rFonts w:hint="eastAsia" w:ascii="宋体" w:hAnsi="宋体" w:eastAsia="宋体" w:cs="宋体"/>
                <w:sz w:val="21"/>
                <w:szCs w:val="21"/>
              </w:rPr>
              <w:t>直流</w:t>
            </w:r>
            <w:r>
              <w:rPr>
                <w:rFonts w:hint="eastAsia" w:ascii="宋体" w:hAnsi="宋体" w:eastAsia="宋体" w:cs="宋体"/>
                <w:sz w:val="21"/>
                <w:szCs w:val="21"/>
                <w:lang w:eastAsia="zh-CN"/>
              </w:rPr>
              <w:t>内部高压配电单元</w:t>
            </w:r>
            <w:r>
              <w:rPr>
                <w:rFonts w:hint="eastAsia" w:ascii="宋体" w:hAnsi="宋体" w:eastAsia="宋体" w:cs="宋体"/>
                <w:sz w:val="21"/>
                <w:szCs w:val="21"/>
              </w:rPr>
              <w:t>电路</w:t>
            </w:r>
          </w:p>
          <w:p w14:paraId="434A57E5">
            <w:pPr>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sz w:val="21"/>
                <w:szCs w:val="21"/>
                <w:lang w:val="en-US" w:eastAsia="zh-CN"/>
              </w:rPr>
              <w:t>4.掌握新能源汽车</w:t>
            </w:r>
            <w:r>
              <w:rPr>
                <w:rFonts w:hint="eastAsia" w:ascii="宋体" w:hAnsi="宋体" w:eastAsia="宋体" w:cs="宋体"/>
                <w:sz w:val="21"/>
                <w:szCs w:val="21"/>
              </w:rPr>
              <w:t>上电、下电控制过程</w:t>
            </w:r>
          </w:p>
        </w:tc>
        <w:tc>
          <w:tcPr>
            <w:tcW w:w="1776" w:type="pct"/>
            <w:gridSpan w:val="3"/>
            <w:shd w:val="clear" w:color="auto" w:fill="auto"/>
            <w:vAlign w:val="center"/>
          </w:tcPr>
          <w:p w14:paraId="0D4F4EED">
            <w:pPr>
              <w:numPr>
                <w:ilvl w:val="0"/>
                <w:numId w:val="0"/>
              </w:numPr>
              <w:spacing w:line="360" w:lineRule="auto"/>
              <w:rPr>
                <w:rFonts w:hint="eastAsia" w:ascii="宋体" w:hAnsi="宋体" w:eastAsia="宋体" w:cs="宋体"/>
                <w:sz w:val="21"/>
                <w:szCs w:val="21"/>
              </w:rPr>
            </w:pPr>
            <w:r>
              <w:rPr>
                <w:rFonts w:hint="eastAsia" w:ascii="宋体" w:hAnsi="宋体" w:eastAsia="宋体" w:cs="宋体"/>
                <w:sz w:val="21"/>
                <w:szCs w:val="21"/>
                <w:lang w:val="en-US" w:eastAsia="zh-CN"/>
              </w:rPr>
              <w:t>1.能够诊断</w:t>
            </w:r>
            <w:r>
              <w:rPr>
                <w:rFonts w:hint="eastAsia" w:ascii="宋体" w:hAnsi="宋体" w:eastAsia="宋体" w:cs="宋体"/>
                <w:sz w:val="21"/>
                <w:szCs w:val="21"/>
              </w:rPr>
              <w:t>预充失败的故障</w:t>
            </w:r>
          </w:p>
          <w:p w14:paraId="092D990E">
            <w:pPr>
              <w:spacing w:line="360" w:lineRule="auto"/>
              <w:rPr>
                <w:rFonts w:hint="eastAsia" w:ascii="宋体" w:hAnsi="宋体" w:eastAsia="宋体" w:cs="宋体"/>
                <w:sz w:val="21"/>
                <w:szCs w:val="21"/>
              </w:rPr>
            </w:pPr>
            <w:r>
              <w:rPr>
                <w:rFonts w:hint="eastAsia" w:ascii="宋体" w:hAnsi="宋体" w:eastAsia="宋体" w:cs="宋体"/>
                <w:sz w:val="21"/>
                <w:szCs w:val="21"/>
                <w:lang w:val="en-US" w:eastAsia="zh-CN"/>
              </w:rPr>
              <w:t>2.能够诊断</w:t>
            </w:r>
            <w:r>
              <w:rPr>
                <w:rFonts w:hint="eastAsia" w:ascii="宋体" w:hAnsi="宋体" w:eastAsia="宋体" w:cs="宋体"/>
                <w:sz w:val="21"/>
                <w:szCs w:val="21"/>
              </w:rPr>
              <w:t>主正接触器烧</w:t>
            </w:r>
            <w:r>
              <w:rPr>
                <w:rFonts w:hint="eastAsia" w:ascii="宋体" w:hAnsi="宋体" w:eastAsia="宋体" w:cs="宋体"/>
                <w:sz w:val="21"/>
                <w:szCs w:val="21"/>
                <w:lang w:val="en-US" w:eastAsia="zh-CN"/>
              </w:rPr>
              <w:t>结</w:t>
            </w:r>
            <w:r>
              <w:rPr>
                <w:rFonts w:hint="eastAsia" w:ascii="宋体" w:hAnsi="宋体" w:eastAsia="宋体" w:cs="宋体"/>
                <w:sz w:val="21"/>
                <w:szCs w:val="21"/>
              </w:rPr>
              <w:t>的故障</w:t>
            </w:r>
          </w:p>
          <w:p w14:paraId="5FEC3248">
            <w:pPr>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sz w:val="21"/>
                <w:szCs w:val="21"/>
                <w:lang w:val="en-US" w:eastAsia="zh-CN"/>
              </w:rPr>
              <w:t>3.能够诊断</w:t>
            </w:r>
            <w:r>
              <w:rPr>
                <w:rFonts w:hint="eastAsia" w:ascii="宋体" w:hAnsi="宋体" w:eastAsia="宋体" w:cs="宋体"/>
                <w:sz w:val="21"/>
                <w:szCs w:val="21"/>
              </w:rPr>
              <w:t>主接触器</w:t>
            </w:r>
            <w:r>
              <w:rPr>
                <w:rFonts w:hint="eastAsia" w:ascii="宋体" w:hAnsi="宋体" w:eastAsia="宋体" w:cs="宋体"/>
                <w:sz w:val="21"/>
                <w:szCs w:val="21"/>
                <w:lang w:val="en-US" w:eastAsia="zh-CN"/>
              </w:rPr>
              <w:t>接触</w:t>
            </w:r>
            <w:r>
              <w:rPr>
                <w:rFonts w:hint="eastAsia" w:ascii="宋体" w:hAnsi="宋体" w:eastAsia="宋体" w:cs="宋体"/>
                <w:sz w:val="21"/>
                <w:szCs w:val="21"/>
              </w:rPr>
              <w:t>失败</w:t>
            </w:r>
            <w:r>
              <w:rPr>
                <w:rFonts w:hint="eastAsia" w:ascii="宋体" w:hAnsi="宋体" w:eastAsia="宋体" w:cs="宋体"/>
                <w:sz w:val="21"/>
                <w:szCs w:val="21"/>
                <w:lang w:val="en-US" w:eastAsia="zh-CN"/>
              </w:rPr>
              <w:t>故障</w:t>
            </w:r>
          </w:p>
        </w:tc>
        <w:tc>
          <w:tcPr>
            <w:tcW w:w="1680" w:type="pct"/>
            <w:shd w:val="clear" w:color="auto" w:fill="auto"/>
            <w:vAlign w:val="center"/>
          </w:tcPr>
          <w:p w14:paraId="6587C54B">
            <w:pPr>
              <w:numPr>
                <w:ilvl w:val="0"/>
                <w:numId w:val="0"/>
              </w:numPr>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w:t>
            </w:r>
            <w:r>
              <w:rPr>
                <w:rFonts w:hint="eastAsia" w:ascii="宋体" w:hAnsi="宋体" w:eastAsia="宋体" w:cs="宋体"/>
                <w:color w:val="000000" w:themeColor="text1"/>
                <w:sz w:val="21"/>
                <w:szCs w:val="21"/>
                <w:lang w:val="en-US" w:eastAsia="zh-CN"/>
                <w14:textFill>
                  <w14:solidFill>
                    <w14:schemeClr w14:val="tx1"/>
                  </w14:solidFill>
                </w14:textFill>
              </w:rPr>
              <w:t>在操作过程中树立高压安全意识</w:t>
            </w:r>
          </w:p>
          <w:p w14:paraId="262BCD96">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2.</w:t>
            </w:r>
            <w:r>
              <w:rPr>
                <w:rFonts w:hint="eastAsia" w:ascii="宋体" w:hAnsi="宋体" w:eastAsia="宋体" w:cs="宋体"/>
                <w:color w:val="000000" w:themeColor="text1"/>
                <w:sz w:val="21"/>
                <w:szCs w:val="21"/>
                <w:lang w:val="en-US" w:eastAsia="zh-CN"/>
                <w14:textFill>
                  <w14:solidFill>
                    <w14:schemeClr w14:val="tx1"/>
                  </w14:solidFill>
                </w14:textFill>
              </w:rPr>
              <w:t>培养学生的团队协作意识</w:t>
            </w:r>
          </w:p>
        </w:tc>
      </w:tr>
      <w:tr w14:paraId="13A09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7ABF607B">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教学重难点</w:t>
            </w:r>
          </w:p>
          <w:p w14:paraId="090F574D">
            <w:pPr>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w:t>
            </w:r>
            <w:r>
              <w:rPr>
                <w:rFonts w:hint="eastAsia" w:ascii="宋体" w:hAnsi="宋体" w:eastAsia="宋体" w:cs="宋体"/>
                <w:color w:val="000000" w:themeColor="text1"/>
                <w:sz w:val="21"/>
                <w:szCs w:val="21"/>
                <w14:textFill>
                  <w14:solidFill>
                    <w14:schemeClr w14:val="tx1"/>
                  </w14:solidFill>
                </w14:textFill>
              </w:rPr>
              <w:t>教学重点</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sz w:val="21"/>
                <w:szCs w:val="21"/>
                <w:lang w:eastAsia="zh-CN"/>
              </w:rPr>
              <w:t>动力蓄电池</w:t>
            </w:r>
            <w:r>
              <w:rPr>
                <w:rFonts w:hint="eastAsia" w:ascii="宋体" w:hAnsi="宋体" w:eastAsia="宋体" w:cs="宋体"/>
                <w:sz w:val="21"/>
                <w:szCs w:val="21"/>
              </w:rPr>
              <w:t>的</w:t>
            </w:r>
            <w:r>
              <w:rPr>
                <w:rFonts w:hint="eastAsia" w:ascii="宋体" w:hAnsi="宋体" w:eastAsia="宋体" w:cs="宋体"/>
                <w:sz w:val="21"/>
                <w:szCs w:val="21"/>
                <w:lang w:eastAsia="zh-CN"/>
              </w:rPr>
              <w:t>内部高压配电单元</w:t>
            </w:r>
            <w:r>
              <w:rPr>
                <w:rFonts w:hint="eastAsia" w:ascii="宋体" w:hAnsi="宋体" w:eastAsia="宋体" w:cs="宋体"/>
                <w:sz w:val="21"/>
                <w:szCs w:val="21"/>
              </w:rPr>
              <w:t>的结构</w:t>
            </w:r>
            <w:r>
              <w:rPr>
                <w:rFonts w:hint="eastAsia" w:ascii="宋体" w:hAnsi="宋体" w:eastAsia="宋体" w:cs="宋体"/>
                <w:sz w:val="21"/>
                <w:szCs w:val="21"/>
                <w:lang w:val="en-US" w:eastAsia="zh-CN"/>
              </w:rPr>
              <w:t>原理</w:t>
            </w:r>
          </w:p>
          <w:p w14:paraId="5F6A3E9D">
            <w:pPr>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w:t>
            </w:r>
            <w:r>
              <w:rPr>
                <w:rFonts w:hint="eastAsia" w:ascii="宋体" w:hAnsi="宋体" w:eastAsia="宋体" w:cs="宋体"/>
                <w:color w:val="000000" w:themeColor="text1"/>
                <w:sz w:val="21"/>
                <w:szCs w:val="21"/>
                <w14:textFill>
                  <w14:solidFill>
                    <w14:schemeClr w14:val="tx1"/>
                  </w14:solidFill>
                </w14:textFill>
              </w:rPr>
              <w:t>教学难点</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sz w:val="21"/>
                <w:szCs w:val="21"/>
                <w:lang w:val="en-US" w:eastAsia="zh-CN"/>
              </w:rPr>
              <w:t>新能源汽车</w:t>
            </w:r>
            <w:r>
              <w:rPr>
                <w:rFonts w:hint="eastAsia" w:ascii="宋体" w:hAnsi="宋体" w:eastAsia="宋体" w:cs="宋体"/>
                <w:sz w:val="21"/>
                <w:szCs w:val="21"/>
              </w:rPr>
              <w:t>上电、下电控制过程</w:t>
            </w:r>
          </w:p>
        </w:tc>
      </w:tr>
      <w:tr w14:paraId="2614C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544EAC94">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教学方法</w:t>
            </w:r>
          </w:p>
          <w:p w14:paraId="721A9989">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讲授法、讨论法</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案例法</w:t>
            </w:r>
            <w:r>
              <w:rPr>
                <w:rFonts w:hint="eastAsia" w:ascii="宋体" w:hAnsi="宋体" w:eastAsia="宋体" w:cs="宋体"/>
                <w:color w:val="000000" w:themeColor="text1"/>
                <w:sz w:val="21"/>
                <w:szCs w:val="21"/>
                <w14:textFill>
                  <w14:solidFill>
                    <w14:schemeClr w14:val="tx1"/>
                  </w14:solidFill>
                </w14:textFill>
              </w:rPr>
              <w:t>；通过系统介绍引发学生兴趣，给出资料学生获取信息，然后应用所获信息解决问题</w:t>
            </w:r>
            <w:r>
              <w:rPr>
                <w:rFonts w:hint="eastAsia" w:ascii="宋体" w:hAnsi="宋体" w:eastAsia="宋体" w:cs="宋体"/>
                <w:color w:val="000000" w:themeColor="text1"/>
                <w:sz w:val="21"/>
                <w:szCs w:val="21"/>
                <w:lang w:eastAsia="zh-CN"/>
                <w14:textFill>
                  <w14:solidFill>
                    <w14:schemeClr w14:val="tx1"/>
                  </w14:solidFill>
                </w14:textFill>
              </w:rPr>
              <w:t>。</w:t>
            </w:r>
          </w:p>
        </w:tc>
      </w:tr>
      <w:tr w14:paraId="29FD5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14C3B4D0">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教学资源</w:t>
            </w:r>
          </w:p>
          <w:p w14:paraId="5F9DD9DC">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PPT课件、</w:t>
            </w:r>
            <w:r>
              <w:rPr>
                <w:rFonts w:hint="eastAsia" w:ascii="宋体" w:hAnsi="宋体" w:eastAsia="宋体" w:cs="宋体"/>
                <w:color w:val="000000" w:themeColor="text1"/>
                <w:sz w:val="21"/>
                <w:szCs w:val="21"/>
                <w14:textFill>
                  <w14:solidFill>
                    <w14:schemeClr w14:val="tx1"/>
                  </w14:solidFill>
                </w14:textFill>
              </w:rPr>
              <w:t>微课视频</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实训设备、实训工单、练习题、思政内容等。</w:t>
            </w:r>
          </w:p>
        </w:tc>
      </w:tr>
      <w:tr w14:paraId="033D2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303E37B0">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教学实施过程</w:t>
            </w:r>
          </w:p>
        </w:tc>
      </w:tr>
      <w:tr w14:paraId="28E4A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99" w:hRule="atLeast"/>
          <w:jc w:val="center"/>
        </w:trPr>
        <w:tc>
          <w:tcPr>
            <w:tcW w:w="5000" w:type="pct"/>
            <w:gridSpan w:val="6"/>
            <w:shd w:val="clear" w:color="auto" w:fill="auto"/>
            <w:vAlign w:val="center"/>
          </w:tcPr>
          <w:p w14:paraId="772F14E5">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w:t>
            </w:r>
            <w:r>
              <w:rPr>
                <w:rFonts w:hint="eastAsia" w:ascii="宋体" w:hAnsi="宋体" w:eastAsia="宋体" w:cs="宋体"/>
                <w:color w:val="000000" w:themeColor="text1"/>
                <w:sz w:val="21"/>
                <w:szCs w:val="21"/>
                <w14:textFill>
                  <w14:solidFill>
                    <w14:schemeClr w14:val="tx1"/>
                  </w14:solidFill>
                </w14:textFill>
              </w:rPr>
              <w:t>课前</w:t>
            </w:r>
            <w:r>
              <w:rPr>
                <w:rFonts w:hint="eastAsia" w:ascii="宋体" w:hAnsi="宋体" w:eastAsia="宋体" w:cs="宋体"/>
                <w:color w:val="000000" w:themeColor="text1"/>
                <w:sz w:val="21"/>
                <w:szCs w:val="21"/>
                <w:lang w:val="en-US" w:eastAsia="zh-CN"/>
                <w14:textFill>
                  <w14:solidFill>
                    <w14:schemeClr w14:val="tx1"/>
                  </w14:solidFill>
                </w14:textFill>
              </w:rPr>
              <w:t>准备</w:t>
            </w:r>
          </w:p>
          <w:p w14:paraId="45D11978">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多媒体教室、教学课件、教学设备等。</w:t>
            </w:r>
          </w:p>
        </w:tc>
      </w:tr>
      <w:tr w14:paraId="36A8C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14644E9B">
            <w:pPr>
              <w:numPr>
                <w:ilvl w:val="0"/>
                <w:numId w:val="1"/>
              </w:numPr>
              <w:bidi w:val="0"/>
              <w:spacing w:line="360" w:lineRule="auto"/>
              <w:ind w:left="0" w:leftChars="0" w:firstLine="0" w:firstLineChars="0"/>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教学内容</w:t>
            </w:r>
          </w:p>
          <w:p w14:paraId="66F671B4">
            <w:pPr>
              <w:numPr>
                <w:ilvl w:val="0"/>
                <w:numId w:val="0"/>
              </w:numPr>
              <w:bidi w:val="0"/>
              <w:spacing w:line="360" w:lineRule="auto"/>
              <w:ind w:leftChars="0"/>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（1）高压电池的输出控制系统功能</w:t>
            </w:r>
          </w:p>
          <w:p w14:paraId="698D1633">
            <w:pPr>
              <w:bidi w:val="0"/>
              <w:spacing w:line="360" w:lineRule="auto"/>
              <w:rPr>
                <w:rFonts w:hint="eastAsia" w:ascii="宋体" w:hAnsi="宋体" w:eastAsia="宋体" w:cs="宋体"/>
                <w:sz w:val="21"/>
                <w:szCs w:val="21"/>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w:t>
            </w:r>
            <w:r>
              <w:rPr>
                <w:rFonts w:hint="eastAsia" w:ascii="宋体" w:hAnsi="宋体" w:eastAsia="宋体" w:cs="宋体"/>
                <w:sz w:val="21"/>
                <w:szCs w:val="21"/>
                <w:lang w:val="en-US" w:eastAsia="zh-CN"/>
              </w:rPr>
              <w:t>高压直流接触器</w:t>
            </w:r>
          </w:p>
          <w:p w14:paraId="7A51B6C2">
            <w:pPr>
              <w:spacing w:line="360" w:lineRule="auto"/>
              <w:ind w:firstLine="420"/>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高压电的输出由高压直流接</w:t>
            </w:r>
            <w:r>
              <w:rPr>
                <w:rFonts w:hint="eastAsia" w:ascii="宋体" w:hAnsi="宋体" w:eastAsia="宋体" w:cs="宋体"/>
                <w:color w:val="000000" w:themeColor="text1"/>
                <w:sz w:val="21"/>
                <w:szCs w:val="21"/>
                <w14:textFill>
                  <w14:solidFill>
                    <w14:schemeClr w14:val="tx1"/>
                  </w14:solidFill>
                </w14:textFill>
              </w:rPr>
              <w:t>触器控制</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高压直流接触器由两部分组成，一个是线圈部分，一个是触点部分，线圈由低压电进行控制。高压直流接触器主要通过电磁力的作用来实现电路的闭合与断开。当控制信号输入，电磁线圈通电产生磁场，吸引动触点动作，使其与静触点紧密接触，从而导通高压直流电路；当控制信号消失，电磁力消失，动触点在复位弹簧的作用下与静触点分离，切断电路。</w:t>
            </w:r>
          </w:p>
          <w:p w14:paraId="0F47C906">
            <w:pPr>
              <w:spacing w:line="360" w:lineRule="auto"/>
              <w:jc w:val="center"/>
              <w:rPr>
                <w:rFonts w:hint="eastAsia" w:ascii="宋体" w:hAnsi="宋体" w:eastAsia="宋体" w:cs="宋体"/>
                <w:color w:val="000000" w:themeColor="text1"/>
                <w:kern w:val="2"/>
                <w:sz w:val="21"/>
                <w:szCs w:val="21"/>
                <w:lang w:eastAsia="zh-CN" w:bidi="ar-SA"/>
                <w14:textFill>
                  <w14:solidFill>
                    <w14:schemeClr w14:val="tx1"/>
                  </w14:solidFill>
                </w14:textFill>
              </w:rPr>
            </w:pPr>
            <w:r>
              <w:rPr>
                <w:rFonts w:hint="eastAsia" w:ascii="宋体" w:hAnsi="宋体" w:eastAsia="宋体" w:cs="宋体"/>
                <w:sz w:val="21"/>
                <w:szCs w:val="21"/>
              </w:rPr>
              <w:drawing>
                <wp:inline distT="0" distB="0" distL="114300" distR="114300">
                  <wp:extent cx="3439795" cy="2945130"/>
                  <wp:effectExtent l="0" t="0" r="8255" b="7620"/>
                  <wp:docPr id="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IMG_256"/>
                          <pic:cNvPicPr>
                            <a:picLocks noChangeAspect="1"/>
                          </pic:cNvPicPr>
                        </pic:nvPicPr>
                        <pic:blipFill>
                          <a:blip r:embed="rId37"/>
                          <a:srcRect l="17017" t="15948" r="17560"/>
                          <a:stretch>
                            <a:fillRect/>
                          </a:stretch>
                        </pic:blipFill>
                        <pic:spPr>
                          <a:xfrm>
                            <a:off x="0" y="0"/>
                            <a:ext cx="3439795" cy="2945130"/>
                          </a:xfrm>
                          <a:prstGeom prst="rect">
                            <a:avLst/>
                          </a:prstGeom>
                          <a:noFill/>
                          <a:ln w="9525">
                            <a:noFill/>
                          </a:ln>
                        </pic:spPr>
                      </pic:pic>
                    </a:graphicData>
                  </a:graphic>
                </wp:inline>
              </w:drawing>
            </w: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1383030" cy="1219200"/>
                  <wp:effectExtent l="0" t="0" r="7620" b="0"/>
                  <wp:docPr id="5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2"/>
                          <pic:cNvPicPr>
                            <a:picLocks noChangeAspect="1"/>
                          </pic:cNvPicPr>
                        </pic:nvPicPr>
                        <pic:blipFill>
                          <a:blip r:embed="rId38"/>
                          <a:stretch>
                            <a:fillRect/>
                          </a:stretch>
                        </pic:blipFill>
                        <pic:spPr>
                          <a:xfrm>
                            <a:off x="0" y="0"/>
                            <a:ext cx="1383030" cy="1219200"/>
                          </a:xfrm>
                          <a:prstGeom prst="rect">
                            <a:avLst/>
                          </a:prstGeom>
                          <a:noFill/>
                          <a:ln>
                            <a:noFill/>
                          </a:ln>
                        </pic:spPr>
                      </pic:pic>
                    </a:graphicData>
                  </a:graphic>
                </wp:inline>
              </w:drawing>
            </w:r>
          </w:p>
          <w:p w14:paraId="798C6A55">
            <w:pPr>
              <w:pStyle w:val="4"/>
              <w:bidi w:val="0"/>
              <w:spacing w:line="360" w:lineRule="auto"/>
              <w:rPr>
                <w:rFonts w:hint="eastAsia" w:ascii="宋体" w:hAnsi="宋体" w:eastAsia="宋体" w:cs="宋体"/>
                <w:b/>
                <w:bCs w:val="0"/>
                <w:sz w:val="21"/>
                <w:szCs w:val="21"/>
              </w:rPr>
            </w:pPr>
            <w:r>
              <w:rPr>
                <w:rFonts w:hint="eastAsia" w:ascii="宋体" w:hAnsi="宋体" w:cs="宋体"/>
                <w:b/>
                <w:bCs w:val="0"/>
                <w:color w:val="000000" w:themeColor="text1"/>
                <w:sz w:val="21"/>
                <w:szCs w:val="21"/>
                <w:lang w:val="en-US" w:eastAsia="zh-CN"/>
                <w14:textFill>
                  <w14:solidFill>
                    <w14:schemeClr w14:val="tx1"/>
                  </w14:solidFill>
                </w14:textFill>
              </w:rPr>
              <w:t>（3）</w:t>
            </w:r>
            <w:r>
              <w:rPr>
                <w:rFonts w:hint="eastAsia" w:ascii="宋体" w:hAnsi="宋体" w:eastAsia="宋体" w:cs="宋体"/>
                <w:b/>
                <w:bCs w:val="0"/>
                <w:sz w:val="21"/>
                <w:szCs w:val="21"/>
              </w:rPr>
              <w:t>预充电阻</w:t>
            </w:r>
          </w:p>
          <w:p w14:paraId="2114C8D0">
            <w:pPr>
              <w:spacing w:line="360" w:lineRule="auto"/>
              <w:rPr>
                <w:rFonts w:hint="eastAsia" w:ascii="宋体" w:hAnsi="宋体" w:eastAsia="宋体" w:cs="宋体"/>
                <w:kern w:val="2"/>
                <w:sz w:val="21"/>
                <w:szCs w:val="21"/>
                <w:lang w:eastAsia="zh-CN" w:bidi="ar-SA"/>
              </w:rPr>
            </w:pPr>
            <w:r>
              <w:rPr>
                <w:rFonts w:hint="eastAsia" w:ascii="宋体" w:hAnsi="宋体" w:eastAsia="宋体" w:cs="宋体"/>
                <w:kern w:val="2"/>
                <w:sz w:val="21"/>
                <w:szCs w:val="21"/>
                <w:lang w:bidi="ar-SA"/>
              </w:rPr>
              <w:t>预充电阻主要限流，防止高压系统上电时电流过大，保护电容和开关器件，确保充电系统稳定可靠。预充电阻避免高压电直接作用于电</w:t>
            </w:r>
            <w:r>
              <w:rPr>
                <w:rFonts w:hint="eastAsia" w:ascii="宋体" w:hAnsi="宋体" w:eastAsia="宋体" w:cs="宋体"/>
                <w:kern w:val="2"/>
                <w:sz w:val="21"/>
                <w:szCs w:val="21"/>
                <w:lang w:val="en-US" w:eastAsia="zh-CN" w:bidi="ar-SA"/>
              </w:rPr>
              <w:t>路</w:t>
            </w:r>
            <w:r>
              <w:rPr>
                <w:rFonts w:hint="eastAsia" w:ascii="宋体" w:hAnsi="宋体" w:eastAsia="宋体" w:cs="宋体"/>
                <w:kern w:val="2"/>
                <w:sz w:val="21"/>
                <w:szCs w:val="21"/>
                <w:lang w:bidi="ar-SA"/>
              </w:rPr>
              <w:t>，防止短路电流损坏电气元件，保障电路安全</w:t>
            </w:r>
            <w:r>
              <w:rPr>
                <w:rFonts w:hint="eastAsia" w:ascii="宋体" w:hAnsi="宋体" w:eastAsia="宋体" w:cs="宋体"/>
                <w:kern w:val="2"/>
                <w:sz w:val="21"/>
                <w:szCs w:val="21"/>
                <w:lang w:eastAsia="zh-CN" w:bidi="ar-SA"/>
              </w:rPr>
              <w:t>。</w:t>
            </w:r>
          </w:p>
          <w:p w14:paraId="47FE64BC">
            <w:pPr>
              <w:spacing w:line="360" w:lineRule="auto"/>
              <w:jc w:val="center"/>
              <w:rPr>
                <w:rFonts w:hint="eastAsia" w:ascii="宋体" w:hAnsi="宋体" w:eastAsia="宋体" w:cs="宋体"/>
                <w:kern w:val="2"/>
                <w:sz w:val="21"/>
                <w:szCs w:val="21"/>
                <w:lang w:eastAsia="zh-CN" w:bidi="ar-SA"/>
              </w:rPr>
            </w:pPr>
            <w:r>
              <w:rPr>
                <w:rFonts w:hint="eastAsia" w:ascii="宋体" w:hAnsi="宋体" w:eastAsia="宋体" w:cs="宋体"/>
                <w:sz w:val="21"/>
                <w:szCs w:val="21"/>
              </w:rPr>
              <w:drawing>
                <wp:inline distT="0" distB="0" distL="114300" distR="114300">
                  <wp:extent cx="2519045" cy="1643380"/>
                  <wp:effectExtent l="0" t="0" r="14605" b="13970"/>
                  <wp:docPr id="6"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IMG_256"/>
                          <pic:cNvPicPr>
                            <a:picLocks noChangeAspect="1"/>
                          </pic:cNvPicPr>
                        </pic:nvPicPr>
                        <pic:blipFill>
                          <a:blip r:embed="rId39"/>
                          <a:srcRect t="7840" b="5166"/>
                          <a:stretch>
                            <a:fillRect/>
                          </a:stretch>
                        </pic:blipFill>
                        <pic:spPr>
                          <a:xfrm>
                            <a:off x="0" y="0"/>
                            <a:ext cx="2519045" cy="1643380"/>
                          </a:xfrm>
                          <a:prstGeom prst="rect">
                            <a:avLst/>
                          </a:prstGeom>
                          <a:noFill/>
                          <a:ln w="9525">
                            <a:noFill/>
                          </a:ln>
                        </pic:spPr>
                      </pic:pic>
                    </a:graphicData>
                  </a:graphic>
                </wp:inline>
              </w:drawing>
            </w:r>
          </w:p>
          <w:p w14:paraId="0B3DEE2B">
            <w:pPr>
              <w:pStyle w:val="4"/>
              <w:bidi w:val="0"/>
              <w:spacing w:line="360" w:lineRule="auto"/>
              <w:rPr>
                <w:rFonts w:hint="eastAsia" w:ascii="宋体" w:hAnsi="宋体" w:eastAsia="宋体" w:cs="宋体"/>
                <w:sz w:val="21"/>
                <w:szCs w:val="21"/>
              </w:rPr>
            </w:pPr>
            <w:r>
              <w:rPr>
                <w:rFonts w:hint="eastAsia" w:ascii="宋体" w:hAnsi="宋体" w:cs="宋体"/>
                <w:kern w:val="2"/>
                <w:sz w:val="21"/>
                <w:szCs w:val="21"/>
                <w:lang w:val="en-US" w:eastAsia="zh-CN" w:bidi="ar-SA"/>
              </w:rPr>
              <w:t>（4）</w:t>
            </w:r>
            <w:r>
              <w:rPr>
                <w:rFonts w:hint="eastAsia" w:ascii="宋体" w:hAnsi="宋体" w:eastAsia="宋体" w:cs="宋体"/>
                <w:sz w:val="21"/>
                <w:szCs w:val="21"/>
              </w:rPr>
              <w:t>高压保险丝</w:t>
            </w:r>
          </w:p>
          <w:p w14:paraId="4C331A27">
            <w:pPr>
              <w:spacing w:line="360" w:lineRule="auto"/>
              <w:ind w:firstLine="420"/>
              <w:rPr>
                <w:rFonts w:hint="eastAsia" w:ascii="宋体" w:hAnsi="宋体" w:eastAsia="宋体" w:cs="宋体"/>
                <w:sz w:val="21"/>
                <w:szCs w:val="21"/>
              </w:rPr>
            </w:pPr>
            <w:r>
              <w:rPr>
                <w:rFonts w:hint="eastAsia" w:ascii="宋体" w:hAnsi="宋体" w:eastAsia="宋体" w:cs="宋体"/>
                <w:sz w:val="21"/>
                <w:szCs w:val="21"/>
              </w:rPr>
              <w:t>高压保险丝安装在</w:t>
            </w:r>
            <w:r>
              <w:rPr>
                <w:rFonts w:hint="eastAsia" w:ascii="宋体" w:hAnsi="宋体" w:eastAsia="宋体" w:cs="宋体"/>
                <w:sz w:val="21"/>
                <w:szCs w:val="21"/>
                <w:lang w:eastAsia="zh-CN"/>
              </w:rPr>
              <w:t>动力蓄电池</w:t>
            </w:r>
            <w:r>
              <w:rPr>
                <w:rFonts w:hint="eastAsia" w:ascii="宋体" w:hAnsi="宋体" w:eastAsia="宋体" w:cs="宋体"/>
                <w:sz w:val="21"/>
                <w:szCs w:val="21"/>
              </w:rPr>
              <w:t>和总负接触器之间，起到高压电路保护作用。</w:t>
            </w:r>
          </w:p>
          <w:p w14:paraId="42D25497">
            <w:pPr>
              <w:spacing w:line="360" w:lineRule="auto"/>
              <w:jc w:val="center"/>
              <w:rPr>
                <w:rFonts w:hint="eastAsia" w:ascii="宋体" w:hAnsi="宋体" w:eastAsia="宋体" w:cs="宋体"/>
                <w:sz w:val="21"/>
                <w:szCs w:val="21"/>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2936240" cy="2372995"/>
                  <wp:effectExtent l="0" t="0" r="16510" b="8255"/>
                  <wp:docPr id="5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3"/>
                          <pic:cNvPicPr>
                            <a:picLocks noChangeAspect="1"/>
                          </pic:cNvPicPr>
                        </pic:nvPicPr>
                        <pic:blipFill>
                          <a:blip r:embed="rId40"/>
                          <a:stretch>
                            <a:fillRect/>
                          </a:stretch>
                        </pic:blipFill>
                        <pic:spPr>
                          <a:xfrm>
                            <a:off x="0" y="0"/>
                            <a:ext cx="2936240" cy="2372995"/>
                          </a:xfrm>
                          <a:prstGeom prst="rect">
                            <a:avLst/>
                          </a:prstGeom>
                          <a:noFill/>
                          <a:ln>
                            <a:noFill/>
                          </a:ln>
                        </pic:spPr>
                      </pic:pic>
                    </a:graphicData>
                  </a:graphic>
                </wp:inline>
              </w:drawing>
            </w:r>
          </w:p>
          <w:p w14:paraId="4DCF803E">
            <w:pPr>
              <w:spacing w:line="360" w:lineRule="auto"/>
              <w:rPr>
                <w:rFonts w:hint="eastAsia" w:ascii="宋体" w:hAnsi="宋体" w:eastAsia="宋体" w:cs="宋体"/>
                <w:sz w:val="21"/>
                <w:szCs w:val="21"/>
                <w:lang w:eastAsia="zh-CN"/>
              </w:rPr>
            </w:pPr>
            <w:r>
              <w:rPr>
                <w:rFonts w:hint="eastAsia" w:ascii="宋体" w:hAnsi="宋体" w:eastAsia="宋体" w:cs="宋体"/>
                <w:kern w:val="2"/>
                <w:sz w:val="21"/>
                <w:szCs w:val="21"/>
                <w:lang w:val="en-US" w:eastAsia="zh-CN" w:bidi="ar-SA"/>
              </w:rPr>
              <w:t>（5）</w:t>
            </w:r>
            <w:r>
              <w:rPr>
                <w:rFonts w:hint="eastAsia" w:ascii="宋体" w:hAnsi="宋体" w:eastAsia="宋体" w:cs="宋体"/>
                <w:sz w:val="21"/>
                <w:szCs w:val="21"/>
                <w:lang w:val="en-US" w:eastAsia="zh-CN"/>
              </w:rPr>
              <w:t>动力蓄电池</w:t>
            </w:r>
            <w:r>
              <w:rPr>
                <w:rFonts w:hint="eastAsia" w:ascii="宋体" w:hAnsi="宋体" w:eastAsia="宋体" w:cs="宋体"/>
                <w:sz w:val="21"/>
                <w:szCs w:val="21"/>
                <w:lang w:eastAsia="zh-CN"/>
              </w:rPr>
              <w:t>高压配电单元（</w:t>
            </w:r>
            <w:r>
              <w:rPr>
                <w:rFonts w:hint="eastAsia" w:ascii="宋体" w:hAnsi="宋体" w:eastAsia="宋体" w:cs="宋体"/>
                <w:sz w:val="21"/>
                <w:szCs w:val="21"/>
                <w:lang w:val="en-US" w:eastAsia="zh-CN"/>
              </w:rPr>
              <w:t>BDU</w:t>
            </w:r>
            <w:r>
              <w:rPr>
                <w:rFonts w:hint="eastAsia" w:ascii="宋体" w:hAnsi="宋体" w:eastAsia="宋体" w:cs="宋体"/>
                <w:sz w:val="21"/>
                <w:szCs w:val="21"/>
              </w:rPr>
              <w:t>电路</w:t>
            </w:r>
            <w:r>
              <w:rPr>
                <w:rFonts w:hint="eastAsia" w:ascii="宋体" w:hAnsi="宋体" w:eastAsia="宋体" w:cs="宋体"/>
                <w:sz w:val="21"/>
                <w:szCs w:val="21"/>
                <w:lang w:eastAsia="zh-CN"/>
              </w:rPr>
              <w:t>）</w:t>
            </w:r>
          </w:p>
          <w:p w14:paraId="2FE6D6D1">
            <w:pPr>
              <w:spacing w:line="360" w:lineRule="auto"/>
              <w:ind w:firstLine="420"/>
              <w:rPr>
                <w:rFonts w:hint="eastAsia" w:ascii="宋体" w:hAnsi="宋体" w:eastAsia="宋体" w:cs="宋体"/>
                <w:sz w:val="21"/>
                <w:szCs w:val="21"/>
              </w:rPr>
            </w:pPr>
            <w:r>
              <w:rPr>
                <w:rFonts w:hint="eastAsia" w:ascii="宋体" w:hAnsi="宋体" w:eastAsia="宋体" w:cs="宋体"/>
                <w:sz w:val="21"/>
                <w:szCs w:val="21"/>
              </w:rPr>
              <w:t>秦EV接触器控制电路，</w:t>
            </w:r>
            <w:r>
              <w:rPr>
                <w:rFonts w:hint="eastAsia" w:ascii="宋体" w:hAnsi="宋体" w:eastAsia="宋体" w:cs="宋体"/>
                <w:b w:val="0"/>
                <w:bCs w:val="0"/>
                <w:sz w:val="21"/>
                <w:szCs w:val="21"/>
                <w:lang w:val="en-US" w:eastAsia="zh-CN"/>
              </w:rPr>
              <w:t>动力蓄电池</w:t>
            </w:r>
            <w:r>
              <w:rPr>
                <w:rFonts w:hint="eastAsia" w:ascii="宋体" w:hAnsi="宋体" w:eastAsia="宋体" w:cs="宋体"/>
                <w:sz w:val="21"/>
                <w:szCs w:val="21"/>
                <w:lang w:eastAsia="zh-CN"/>
              </w:rPr>
              <w:t>内部高压配电单元</w:t>
            </w:r>
            <w:r>
              <w:rPr>
                <w:rFonts w:hint="eastAsia" w:ascii="宋体" w:hAnsi="宋体" w:eastAsia="宋体" w:cs="宋体"/>
                <w:sz w:val="21"/>
                <w:szCs w:val="21"/>
              </w:rPr>
              <w:t>装置的控制通过高压包上低压端子BK51输出，并</w:t>
            </w:r>
            <w:r>
              <w:rPr>
                <w:rFonts w:hint="eastAsia" w:ascii="宋体" w:hAnsi="宋体" w:eastAsia="宋体" w:cs="宋体"/>
                <w:sz w:val="21"/>
                <w:szCs w:val="21"/>
                <w:lang w:eastAsia="zh-CN"/>
              </w:rPr>
              <w:t>与</w:t>
            </w:r>
            <w:r>
              <w:rPr>
                <w:rFonts w:hint="eastAsia" w:ascii="宋体" w:hAnsi="宋体" w:eastAsia="宋体" w:cs="宋体"/>
                <w:sz w:val="21"/>
                <w:szCs w:val="21"/>
              </w:rPr>
              <w:t>BMS的BK45A相连接并于BMS的BK45A相连接。</w:t>
            </w:r>
          </w:p>
          <w:p w14:paraId="0BF96A37">
            <w:pPr>
              <w:spacing w:line="36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drawing>
                <wp:inline distT="0" distB="0" distL="114300" distR="114300">
                  <wp:extent cx="3614420" cy="2011680"/>
                  <wp:effectExtent l="0" t="0" r="5080" b="7620"/>
                  <wp:docPr id="2" name="图片 2"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3"/>
                          <pic:cNvPicPr>
                            <a:picLocks noChangeAspect="1"/>
                          </pic:cNvPicPr>
                        </pic:nvPicPr>
                        <pic:blipFill>
                          <a:blip r:embed="rId41"/>
                          <a:stretch>
                            <a:fillRect/>
                          </a:stretch>
                        </pic:blipFill>
                        <pic:spPr>
                          <a:xfrm>
                            <a:off x="0" y="0"/>
                            <a:ext cx="3614420" cy="2011680"/>
                          </a:xfrm>
                          <a:prstGeom prst="rect">
                            <a:avLst/>
                          </a:prstGeom>
                        </pic:spPr>
                      </pic:pic>
                    </a:graphicData>
                  </a:graphic>
                </wp:inline>
              </w:drawing>
            </w:r>
          </w:p>
          <w:p w14:paraId="221CE6AD">
            <w:pPr>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上电过程：BMS指令，主负接触器吸合-预充接触器吸合-主正接触器吸合-预充接触器断开，上电结束。</w:t>
            </w:r>
          </w:p>
          <w:p w14:paraId="5407C045">
            <w:pPr>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下电过程：BMS指令，预充接触器接通-主正接触器断开-预充接触器断开-主负接触器断开，下电结束。</w:t>
            </w:r>
          </w:p>
          <w:p w14:paraId="15AB488B">
            <w:pPr>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任务实施：</w:t>
            </w:r>
          </w:p>
          <w:p w14:paraId="5AF08034">
            <w:pPr>
              <w:numPr>
                <w:ilvl w:val="0"/>
                <w:numId w:val="5"/>
              </w:numPr>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预充失败故障的诊断</w:t>
            </w:r>
          </w:p>
          <w:p w14:paraId="214C99DF">
            <w:pPr>
              <w:numPr>
                <w:ilvl w:val="0"/>
                <w:numId w:val="0"/>
              </w:numPr>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故障现象、故障原因、读取故障码、故障诊断、故障检测</w:t>
            </w:r>
          </w:p>
          <w:p w14:paraId="7132EF2C">
            <w:pPr>
              <w:numPr>
                <w:ilvl w:val="0"/>
                <w:numId w:val="5"/>
              </w:numPr>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主接触器烧结故障的诊断</w:t>
            </w:r>
          </w:p>
          <w:p w14:paraId="11102B42">
            <w:pPr>
              <w:numPr>
                <w:ilvl w:val="0"/>
                <w:numId w:val="0"/>
              </w:numPr>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故障现象、故障原因、读取故障码、故障诊断、故障检测</w:t>
            </w:r>
          </w:p>
          <w:p w14:paraId="357F8FAA">
            <w:pPr>
              <w:numPr>
                <w:ilvl w:val="0"/>
                <w:numId w:val="5"/>
              </w:numPr>
              <w:spacing w:line="360" w:lineRule="auto"/>
              <w:ind w:left="0" w:leftChars="0" w:firstLine="0" w:firstLine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主接触器接通失败故障的诊断</w:t>
            </w:r>
          </w:p>
          <w:p w14:paraId="785D44DA">
            <w:pPr>
              <w:numPr>
                <w:ilvl w:val="0"/>
                <w:numId w:val="0"/>
              </w:numPr>
              <w:spacing w:line="360" w:lineRule="auto"/>
              <w:ind w:left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故障现象、故障原因、读取故障码、故障诊断、故障检测</w:t>
            </w:r>
          </w:p>
        </w:tc>
      </w:tr>
      <w:tr w14:paraId="4B864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6C4C8A3B">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3.课后拓展</w:t>
            </w:r>
          </w:p>
          <w:p w14:paraId="4C64B546">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（1）学员的课后体会</w:t>
            </w:r>
          </w:p>
          <w:p w14:paraId="607FAF88">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（2）课后练习题</w:t>
            </w:r>
          </w:p>
          <w:p w14:paraId="4A082EAE">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（3）预习新课程</w:t>
            </w:r>
          </w:p>
        </w:tc>
      </w:tr>
    </w:tbl>
    <w:p w14:paraId="71D01247">
      <w:pPr>
        <w:rPr>
          <w:rFonts w:hint="eastAsia" w:ascii="宋体" w:hAnsi="宋体" w:eastAsia="宋体" w:cs="宋体"/>
          <w:color w:val="000000" w:themeColor="text1"/>
          <w:highlight w:val="yellow"/>
          <w:lang w:val="en-US" w:eastAsia="zh-CN"/>
          <w14:textFill>
            <w14:solidFill>
              <w14:schemeClr w14:val="tx1"/>
            </w14:solidFill>
          </w14:textFill>
        </w:rPr>
      </w:pPr>
    </w:p>
    <w:p w14:paraId="3DAE15B8">
      <w:pPr>
        <w:rPr>
          <w:rFonts w:hint="eastAsia" w:ascii="宋体" w:hAnsi="宋体" w:eastAsia="宋体" w:cs="宋体"/>
          <w:b/>
          <w:bCs/>
          <w:sz w:val="24"/>
          <w:szCs w:val="24"/>
          <w:lang w:val="en-US" w:eastAsia="zh-CN"/>
        </w:rPr>
      </w:pPr>
    </w:p>
    <w:p w14:paraId="00A6DC36">
      <w:pPr>
        <w:rPr>
          <w:rFonts w:hint="eastAsia" w:ascii="宋体" w:hAnsi="宋体" w:eastAsia="宋体" w:cs="宋体"/>
          <w:b/>
          <w:bCs/>
          <w:sz w:val="24"/>
          <w:szCs w:val="24"/>
          <w:lang w:val="en-US" w:eastAsia="zh-CN"/>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等线 Light">
    <w:panose1 w:val="02010600030101010101"/>
    <w:charset w:val="86"/>
    <w:family w:val="auto"/>
    <w:pitch w:val="default"/>
    <w:sig w:usb0="A00002BF" w:usb1="38CF7CFA" w:usb2="00000016" w:usb3="00000000" w:csb0="0004000F" w:csb1="00000000"/>
  </w:font>
  <w:font w:name="Tahoma">
    <w:panose1 w:val="020B0604030504040204"/>
    <w:charset w:val="00"/>
    <w:family w:val="auto"/>
    <w:pitch w:val="default"/>
    <w:sig w:usb0="E1002EFF" w:usb1="C000605B" w:usb2="00000029" w:usb3="00000000" w:csb0="200101FF" w:csb1="20280000"/>
  </w:font>
  <w:font w:name="汉仪粗黑简">
    <w:panose1 w:val="02010600000101010101"/>
    <w:charset w:val="86"/>
    <w:family w:val="auto"/>
    <w:pitch w:val="default"/>
    <w:sig w:usb0="00000001" w:usb1="080E0800" w:usb2="00000002"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54780"/>
      <w:docPartObj>
        <w:docPartGallery w:val="autotext"/>
      </w:docPartObj>
    </w:sdtPr>
    <w:sdtEndPr>
      <w:rPr>
        <w:rFonts w:ascii="Times New Roman" w:hAnsi="Times New Roman" w:cs="Times New Roman"/>
        <w:sz w:val="21"/>
        <w:szCs w:val="21"/>
      </w:rPr>
    </w:sdtEndPr>
    <w:sdtContent>
      <w:p w14:paraId="2D27F798">
        <w:pPr>
          <w:pStyle w:val="5"/>
          <w:jc w:val="center"/>
          <w:rPr>
            <w:rFonts w:ascii="Times New Roman" w:hAnsi="Times New Roman" w:cs="Times New Roman"/>
            <w:sz w:val="21"/>
            <w:szCs w:val="21"/>
          </w:rPr>
        </w:pPr>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2</w:t>
        </w:r>
        <w:r>
          <w:rPr>
            <w:rFonts w:ascii="Times New Roman" w:hAnsi="Times New Roman" w:cs="Times New Roman"/>
            <w:sz w:val="21"/>
            <w:szCs w:val="21"/>
          </w:rPr>
          <w:fldChar w:fldCharType="end"/>
        </w:r>
      </w:p>
    </w:sdtContent>
  </w:sdt>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DDE5F47"/>
    <w:multiLevelType w:val="singleLevel"/>
    <w:tmpl w:val="8DDE5F47"/>
    <w:lvl w:ilvl="0" w:tentative="0">
      <w:start w:val="1"/>
      <w:numFmt w:val="decimal"/>
      <w:lvlText w:val="%1."/>
      <w:lvlJc w:val="left"/>
      <w:pPr>
        <w:tabs>
          <w:tab w:val="left" w:pos="312"/>
        </w:tabs>
      </w:pPr>
    </w:lvl>
  </w:abstractNum>
  <w:abstractNum w:abstractNumId="1">
    <w:nsid w:val="DDC3992A"/>
    <w:multiLevelType w:val="singleLevel"/>
    <w:tmpl w:val="DDC3992A"/>
    <w:lvl w:ilvl="0" w:tentative="0">
      <w:start w:val="1"/>
      <w:numFmt w:val="chineseCounting"/>
      <w:suff w:val="nothing"/>
      <w:lvlText w:val="%1、"/>
      <w:lvlJc w:val="left"/>
      <w:rPr>
        <w:rFonts w:hint="eastAsia"/>
      </w:rPr>
    </w:lvl>
  </w:abstractNum>
  <w:abstractNum w:abstractNumId="2">
    <w:nsid w:val="22007C34"/>
    <w:multiLevelType w:val="singleLevel"/>
    <w:tmpl w:val="22007C34"/>
    <w:lvl w:ilvl="0" w:tentative="0">
      <w:start w:val="1"/>
      <w:numFmt w:val="chineseCounting"/>
      <w:suff w:val="nothing"/>
      <w:lvlText w:val="%1、"/>
      <w:lvlJc w:val="left"/>
      <w:rPr>
        <w:rFonts w:hint="eastAsia"/>
      </w:rPr>
    </w:lvl>
  </w:abstractNum>
  <w:abstractNum w:abstractNumId="3">
    <w:nsid w:val="5FC710AF"/>
    <w:multiLevelType w:val="singleLevel"/>
    <w:tmpl w:val="5FC710AF"/>
    <w:lvl w:ilvl="0" w:tentative="0">
      <w:start w:val="1"/>
      <w:numFmt w:val="decimal"/>
      <w:suff w:val="nothing"/>
      <w:lvlText w:val="（%1）"/>
      <w:lvlJc w:val="left"/>
    </w:lvl>
  </w:abstractNum>
  <w:abstractNum w:abstractNumId="4">
    <w:nsid w:val="63A5ED00"/>
    <w:multiLevelType w:val="singleLevel"/>
    <w:tmpl w:val="63A5ED00"/>
    <w:lvl w:ilvl="0" w:tentative="0">
      <w:start w:val="1"/>
      <w:numFmt w:val="chineseCounting"/>
      <w:suff w:val="nothing"/>
      <w:lvlText w:val="%1、"/>
      <w:lvlJc w:val="left"/>
      <w:rPr>
        <w:rFonts w:hint="eastAsia"/>
      </w:rPr>
    </w:lvl>
  </w:abstractNum>
  <w:num w:numId="1">
    <w:abstractNumId w:val="0"/>
  </w:num>
  <w:num w:numId="2">
    <w:abstractNumId w:val="3"/>
  </w:num>
  <w:num w:numId="3">
    <w:abstractNumId w:val="4"/>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A4NzIyN2MxYTlmMzQ1NGE2MjU5NWRkMjhlOGMxYTAifQ=="/>
  </w:docVars>
  <w:rsids>
    <w:rsidRoot w:val="00A458E2"/>
    <w:rsid w:val="0000135A"/>
    <w:rsid w:val="000025A2"/>
    <w:rsid w:val="0001231C"/>
    <w:rsid w:val="00014E6A"/>
    <w:rsid w:val="000227FF"/>
    <w:rsid w:val="00034292"/>
    <w:rsid w:val="00047B15"/>
    <w:rsid w:val="000503CD"/>
    <w:rsid w:val="00061266"/>
    <w:rsid w:val="00073FFF"/>
    <w:rsid w:val="00080B2F"/>
    <w:rsid w:val="00083B1D"/>
    <w:rsid w:val="0008425E"/>
    <w:rsid w:val="000A47DA"/>
    <w:rsid w:val="000B724E"/>
    <w:rsid w:val="000C05B6"/>
    <w:rsid w:val="000E7ABF"/>
    <w:rsid w:val="000F1AA5"/>
    <w:rsid w:val="00104102"/>
    <w:rsid w:val="00116F8E"/>
    <w:rsid w:val="00123AC2"/>
    <w:rsid w:val="00125734"/>
    <w:rsid w:val="00150EAD"/>
    <w:rsid w:val="00155168"/>
    <w:rsid w:val="00160F39"/>
    <w:rsid w:val="00177909"/>
    <w:rsid w:val="00185006"/>
    <w:rsid w:val="001C0B2A"/>
    <w:rsid w:val="001D11ED"/>
    <w:rsid w:val="001D2461"/>
    <w:rsid w:val="001E5C04"/>
    <w:rsid w:val="001F2B26"/>
    <w:rsid w:val="001F3ED9"/>
    <w:rsid w:val="00207852"/>
    <w:rsid w:val="00215EAA"/>
    <w:rsid w:val="002313F6"/>
    <w:rsid w:val="002410F1"/>
    <w:rsid w:val="00241FD8"/>
    <w:rsid w:val="00243AEB"/>
    <w:rsid w:val="00247811"/>
    <w:rsid w:val="002519F4"/>
    <w:rsid w:val="00256F70"/>
    <w:rsid w:val="00263AEB"/>
    <w:rsid w:val="00264E69"/>
    <w:rsid w:val="00265FE1"/>
    <w:rsid w:val="002668A0"/>
    <w:rsid w:val="00266ECA"/>
    <w:rsid w:val="0029126B"/>
    <w:rsid w:val="002A40BA"/>
    <w:rsid w:val="002C0F5F"/>
    <w:rsid w:val="002C373A"/>
    <w:rsid w:val="002C61D4"/>
    <w:rsid w:val="002D2B06"/>
    <w:rsid w:val="002E43CB"/>
    <w:rsid w:val="002E6020"/>
    <w:rsid w:val="0032394F"/>
    <w:rsid w:val="00325978"/>
    <w:rsid w:val="00345570"/>
    <w:rsid w:val="003479A8"/>
    <w:rsid w:val="00351C4B"/>
    <w:rsid w:val="00361B5F"/>
    <w:rsid w:val="003723E1"/>
    <w:rsid w:val="00374DA0"/>
    <w:rsid w:val="0037613A"/>
    <w:rsid w:val="00376FA7"/>
    <w:rsid w:val="003837B4"/>
    <w:rsid w:val="00390AF4"/>
    <w:rsid w:val="003A1C0E"/>
    <w:rsid w:val="003A6947"/>
    <w:rsid w:val="003B079B"/>
    <w:rsid w:val="003D02E2"/>
    <w:rsid w:val="003D3C09"/>
    <w:rsid w:val="003F448A"/>
    <w:rsid w:val="00401519"/>
    <w:rsid w:val="00404BE4"/>
    <w:rsid w:val="00413AD0"/>
    <w:rsid w:val="00461B3D"/>
    <w:rsid w:val="00466CBD"/>
    <w:rsid w:val="00467785"/>
    <w:rsid w:val="004874D5"/>
    <w:rsid w:val="00497E61"/>
    <w:rsid w:val="004B2773"/>
    <w:rsid w:val="00501D0E"/>
    <w:rsid w:val="0050567B"/>
    <w:rsid w:val="00517260"/>
    <w:rsid w:val="00517709"/>
    <w:rsid w:val="00522102"/>
    <w:rsid w:val="00522DF4"/>
    <w:rsid w:val="00556365"/>
    <w:rsid w:val="00571968"/>
    <w:rsid w:val="00582369"/>
    <w:rsid w:val="00592C06"/>
    <w:rsid w:val="005B631A"/>
    <w:rsid w:val="005B6668"/>
    <w:rsid w:val="005C12A2"/>
    <w:rsid w:val="005C2A77"/>
    <w:rsid w:val="005D0A67"/>
    <w:rsid w:val="005D2854"/>
    <w:rsid w:val="005E2A2C"/>
    <w:rsid w:val="005F037B"/>
    <w:rsid w:val="005F136C"/>
    <w:rsid w:val="00645991"/>
    <w:rsid w:val="00650C76"/>
    <w:rsid w:val="00652A6A"/>
    <w:rsid w:val="00661CF8"/>
    <w:rsid w:val="0067722F"/>
    <w:rsid w:val="006800F5"/>
    <w:rsid w:val="00682507"/>
    <w:rsid w:val="00693713"/>
    <w:rsid w:val="00694F86"/>
    <w:rsid w:val="006B4251"/>
    <w:rsid w:val="006C3B23"/>
    <w:rsid w:val="006C5A20"/>
    <w:rsid w:val="006C7D90"/>
    <w:rsid w:val="006D6F3B"/>
    <w:rsid w:val="006E30C4"/>
    <w:rsid w:val="006E3245"/>
    <w:rsid w:val="006F182F"/>
    <w:rsid w:val="00703A4C"/>
    <w:rsid w:val="007079EF"/>
    <w:rsid w:val="00711230"/>
    <w:rsid w:val="00770FE5"/>
    <w:rsid w:val="007754D4"/>
    <w:rsid w:val="00782745"/>
    <w:rsid w:val="00782B83"/>
    <w:rsid w:val="00784758"/>
    <w:rsid w:val="007A3B95"/>
    <w:rsid w:val="007A4C4B"/>
    <w:rsid w:val="007A647A"/>
    <w:rsid w:val="007D0087"/>
    <w:rsid w:val="007D736F"/>
    <w:rsid w:val="007F1030"/>
    <w:rsid w:val="007F3FD5"/>
    <w:rsid w:val="00827A27"/>
    <w:rsid w:val="00830F14"/>
    <w:rsid w:val="00841D6B"/>
    <w:rsid w:val="00842225"/>
    <w:rsid w:val="00854149"/>
    <w:rsid w:val="008723E8"/>
    <w:rsid w:val="00873DA1"/>
    <w:rsid w:val="0088494C"/>
    <w:rsid w:val="008871CD"/>
    <w:rsid w:val="008A343A"/>
    <w:rsid w:val="008A67FA"/>
    <w:rsid w:val="008A77A5"/>
    <w:rsid w:val="008A78CA"/>
    <w:rsid w:val="008C310A"/>
    <w:rsid w:val="008C35AC"/>
    <w:rsid w:val="008E0C60"/>
    <w:rsid w:val="008F0C48"/>
    <w:rsid w:val="009120B8"/>
    <w:rsid w:val="00922269"/>
    <w:rsid w:val="00926ABA"/>
    <w:rsid w:val="00931D92"/>
    <w:rsid w:val="009413D7"/>
    <w:rsid w:val="0094384F"/>
    <w:rsid w:val="009446E2"/>
    <w:rsid w:val="009546CE"/>
    <w:rsid w:val="00966610"/>
    <w:rsid w:val="00967301"/>
    <w:rsid w:val="00971236"/>
    <w:rsid w:val="00984862"/>
    <w:rsid w:val="0099429E"/>
    <w:rsid w:val="00994F31"/>
    <w:rsid w:val="009A7605"/>
    <w:rsid w:val="009B0133"/>
    <w:rsid w:val="009B177E"/>
    <w:rsid w:val="009C5064"/>
    <w:rsid w:val="009D132F"/>
    <w:rsid w:val="009F7A84"/>
    <w:rsid w:val="00A011E6"/>
    <w:rsid w:val="00A01FB1"/>
    <w:rsid w:val="00A176FA"/>
    <w:rsid w:val="00A272B6"/>
    <w:rsid w:val="00A278D2"/>
    <w:rsid w:val="00A31A97"/>
    <w:rsid w:val="00A42049"/>
    <w:rsid w:val="00A458E2"/>
    <w:rsid w:val="00A5587B"/>
    <w:rsid w:val="00A65041"/>
    <w:rsid w:val="00A72ADE"/>
    <w:rsid w:val="00A7719B"/>
    <w:rsid w:val="00A8136E"/>
    <w:rsid w:val="00A831A4"/>
    <w:rsid w:val="00AA2FB9"/>
    <w:rsid w:val="00AB6C3C"/>
    <w:rsid w:val="00AB6CEB"/>
    <w:rsid w:val="00AC6DA3"/>
    <w:rsid w:val="00AD558A"/>
    <w:rsid w:val="00B0067D"/>
    <w:rsid w:val="00B00CE3"/>
    <w:rsid w:val="00B01EB9"/>
    <w:rsid w:val="00B07CC7"/>
    <w:rsid w:val="00B12204"/>
    <w:rsid w:val="00B24073"/>
    <w:rsid w:val="00B2456F"/>
    <w:rsid w:val="00B42588"/>
    <w:rsid w:val="00B43767"/>
    <w:rsid w:val="00B43ADD"/>
    <w:rsid w:val="00B43BB3"/>
    <w:rsid w:val="00B5474E"/>
    <w:rsid w:val="00B55276"/>
    <w:rsid w:val="00B55707"/>
    <w:rsid w:val="00B6071B"/>
    <w:rsid w:val="00B7600D"/>
    <w:rsid w:val="00B8000F"/>
    <w:rsid w:val="00B96F30"/>
    <w:rsid w:val="00BA548D"/>
    <w:rsid w:val="00BB58D9"/>
    <w:rsid w:val="00BC06F8"/>
    <w:rsid w:val="00BC1DD1"/>
    <w:rsid w:val="00BC2120"/>
    <w:rsid w:val="00BD0ED6"/>
    <w:rsid w:val="00BE1E01"/>
    <w:rsid w:val="00C02020"/>
    <w:rsid w:val="00C10677"/>
    <w:rsid w:val="00C27A38"/>
    <w:rsid w:val="00C4573A"/>
    <w:rsid w:val="00C51EA1"/>
    <w:rsid w:val="00C73812"/>
    <w:rsid w:val="00C8596B"/>
    <w:rsid w:val="00CA7C31"/>
    <w:rsid w:val="00CB4240"/>
    <w:rsid w:val="00CC289D"/>
    <w:rsid w:val="00CE3D41"/>
    <w:rsid w:val="00D03426"/>
    <w:rsid w:val="00D05F7E"/>
    <w:rsid w:val="00D2034F"/>
    <w:rsid w:val="00D22353"/>
    <w:rsid w:val="00D23242"/>
    <w:rsid w:val="00D24300"/>
    <w:rsid w:val="00D4529E"/>
    <w:rsid w:val="00D53468"/>
    <w:rsid w:val="00D701B6"/>
    <w:rsid w:val="00D743B5"/>
    <w:rsid w:val="00D749B0"/>
    <w:rsid w:val="00D81A4B"/>
    <w:rsid w:val="00D85D98"/>
    <w:rsid w:val="00D92E4B"/>
    <w:rsid w:val="00DA18E8"/>
    <w:rsid w:val="00DA310F"/>
    <w:rsid w:val="00DB10FA"/>
    <w:rsid w:val="00DB3AD5"/>
    <w:rsid w:val="00DB5AFB"/>
    <w:rsid w:val="00DC480C"/>
    <w:rsid w:val="00DF089C"/>
    <w:rsid w:val="00E075AB"/>
    <w:rsid w:val="00E466CA"/>
    <w:rsid w:val="00E50930"/>
    <w:rsid w:val="00E52BE0"/>
    <w:rsid w:val="00E65A32"/>
    <w:rsid w:val="00E7264B"/>
    <w:rsid w:val="00E970E4"/>
    <w:rsid w:val="00E971F9"/>
    <w:rsid w:val="00E973C0"/>
    <w:rsid w:val="00EB4C07"/>
    <w:rsid w:val="00EB63AB"/>
    <w:rsid w:val="00ED3278"/>
    <w:rsid w:val="00ED6C29"/>
    <w:rsid w:val="00EF1087"/>
    <w:rsid w:val="00EF25F2"/>
    <w:rsid w:val="00EF49D0"/>
    <w:rsid w:val="00EF52DB"/>
    <w:rsid w:val="00EF61AA"/>
    <w:rsid w:val="00F010B6"/>
    <w:rsid w:val="00F02677"/>
    <w:rsid w:val="00F07034"/>
    <w:rsid w:val="00F11776"/>
    <w:rsid w:val="00F11830"/>
    <w:rsid w:val="00F132D1"/>
    <w:rsid w:val="00F22906"/>
    <w:rsid w:val="00F3064E"/>
    <w:rsid w:val="00F41F2D"/>
    <w:rsid w:val="00F4265F"/>
    <w:rsid w:val="00F46CE7"/>
    <w:rsid w:val="00F53601"/>
    <w:rsid w:val="00F571BA"/>
    <w:rsid w:val="00F609CD"/>
    <w:rsid w:val="00F65C30"/>
    <w:rsid w:val="00F66ECC"/>
    <w:rsid w:val="00F72A1B"/>
    <w:rsid w:val="00F7469D"/>
    <w:rsid w:val="00F914AA"/>
    <w:rsid w:val="00F91A9B"/>
    <w:rsid w:val="00F93732"/>
    <w:rsid w:val="00FA1521"/>
    <w:rsid w:val="00FA3668"/>
    <w:rsid w:val="00FA72C8"/>
    <w:rsid w:val="00FD116C"/>
    <w:rsid w:val="00FD63FE"/>
    <w:rsid w:val="00FE0F74"/>
    <w:rsid w:val="00FE2F2D"/>
    <w:rsid w:val="011A24F4"/>
    <w:rsid w:val="011E3D92"/>
    <w:rsid w:val="01253372"/>
    <w:rsid w:val="012A4E2C"/>
    <w:rsid w:val="012D2227"/>
    <w:rsid w:val="01396E1E"/>
    <w:rsid w:val="013D4B60"/>
    <w:rsid w:val="013E2686"/>
    <w:rsid w:val="015772A4"/>
    <w:rsid w:val="01695955"/>
    <w:rsid w:val="0187402D"/>
    <w:rsid w:val="018C1643"/>
    <w:rsid w:val="01AA1AC9"/>
    <w:rsid w:val="01BA61B0"/>
    <w:rsid w:val="01CC3404"/>
    <w:rsid w:val="01D7751B"/>
    <w:rsid w:val="01DD3C4D"/>
    <w:rsid w:val="01EE19B6"/>
    <w:rsid w:val="01F40F97"/>
    <w:rsid w:val="01F64D0F"/>
    <w:rsid w:val="01FB2325"/>
    <w:rsid w:val="01FE5971"/>
    <w:rsid w:val="02005B8D"/>
    <w:rsid w:val="020411DA"/>
    <w:rsid w:val="021533E7"/>
    <w:rsid w:val="02181129"/>
    <w:rsid w:val="0227136C"/>
    <w:rsid w:val="022E6257"/>
    <w:rsid w:val="0236335D"/>
    <w:rsid w:val="024C0DD3"/>
    <w:rsid w:val="02551A35"/>
    <w:rsid w:val="02604EBC"/>
    <w:rsid w:val="02691984"/>
    <w:rsid w:val="02704AC1"/>
    <w:rsid w:val="02720839"/>
    <w:rsid w:val="027F2F56"/>
    <w:rsid w:val="027F4D04"/>
    <w:rsid w:val="02873BB9"/>
    <w:rsid w:val="028B5457"/>
    <w:rsid w:val="02E96621"/>
    <w:rsid w:val="02F6117F"/>
    <w:rsid w:val="0305345B"/>
    <w:rsid w:val="03065425"/>
    <w:rsid w:val="030B6598"/>
    <w:rsid w:val="03101E00"/>
    <w:rsid w:val="0313544C"/>
    <w:rsid w:val="03247961"/>
    <w:rsid w:val="032D4760"/>
    <w:rsid w:val="032F2286"/>
    <w:rsid w:val="032F672A"/>
    <w:rsid w:val="034E3158"/>
    <w:rsid w:val="03711FCB"/>
    <w:rsid w:val="0374238F"/>
    <w:rsid w:val="03824AAC"/>
    <w:rsid w:val="03A26EFC"/>
    <w:rsid w:val="03AD764F"/>
    <w:rsid w:val="03C835BC"/>
    <w:rsid w:val="03C9092D"/>
    <w:rsid w:val="03D35307"/>
    <w:rsid w:val="03E312C3"/>
    <w:rsid w:val="03E5503B"/>
    <w:rsid w:val="040000C7"/>
    <w:rsid w:val="04043713"/>
    <w:rsid w:val="04090B5E"/>
    <w:rsid w:val="04090D29"/>
    <w:rsid w:val="04133956"/>
    <w:rsid w:val="041D6583"/>
    <w:rsid w:val="042042C5"/>
    <w:rsid w:val="042F62B6"/>
    <w:rsid w:val="043F474B"/>
    <w:rsid w:val="044B45F3"/>
    <w:rsid w:val="044B7594"/>
    <w:rsid w:val="045D2E23"/>
    <w:rsid w:val="04812FB5"/>
    <w:rsid w:val="04854128"/>
    <w:rsid w:val="049C7DEF"/>
    <w:rsid w:val="049F51EA"/>
    <w:rsid w:val="04AB3B8E"/>
    <w:rsid w:val="04B54A0D"/>
    <w:rsid w:val="04B844FD"/>
    <w:rsid w:val="04C133B2"/>
    <w:rsid w:val="04C335CE"/>
    <w:rsid w:val="04E90B5B"/>
    <w:rsid w:val="04E946B7"/>
    <w:rsid w:val="04F217BD"/>
    <w:rsid w:val="053C512E"/>
    <w:rsid w:val="053E2C54"/>
    <w:rsid w:val="053E4A03"/>
    <w:rsid w:val="054144F3"/>
    <w:rsid w:val="054162A1"/>
    <w:rsid w:val="054F4E62"/>
    <w:rsid w:val="05526700"/>
    <w:rsid w:val="056F72B2"/>
    <w:rsid w:val="05776166"/>
    <w:rsid w:val="05837F22"/>
    <w:rsid w:val="05971D90"/>
    <w:rsid w:val="0599432F"/>
    <w:rsid w:val="05A0746B"/>
    <w:rsid w:val="05A625A8"/>
    <w:rsid w:val="05B66C8F"/>
    <w:rsid w:val="05C0366A"/>
    <w:rsid w:val="05C11FB2"/>
    <w:rsid w:val="05CA098C"/>
    <w:rsid w:val="05D15877"/>
    <w:rsid w:val="05DE1D42"/>
    <w:rsid w:val="05E13DD7"/>
    <w:rsid w:val="05E85773"/>
    <w:rsid w:val="05F11A75"/>
    <w:rsid w:val="060001D2"/>
    <w:rsid w:val="06190FCC"/>
    <w:rsid w:val="0624009C"/>
    <w:rsid w:val="06257970"/>
    <w:rsid w:val="062A4F87"/>
    <w:rsid w:val="06316315"/>
    <w:rsid w:val="06336531"/>
    <w:rsid w:val="06581AF4"/>
    <w:rsid w:val="068B65D1"/>
    <w:rsid w:val="06A56DD9"/>
    <w:rsid w:val="06C23411"/>
    <w:rsid w:val="06D3561E"/>
    <w:rsid w:val="06EE06AA"/>
    <w:rsid w:val="06FF6413"/>
    <w:rsid w:val="07007F1F"/>
    <w:rsid w:val="07091040"/>
    <w:rsid w:val="071F2612"/>
    <w:rsid w:val="0721282E"/>
    <w:rsid w:val="07247C28"/>
    <w:rsid w:val="072D4D2F"/>
    <w:rsid w:val="07342561"/>
    <w:rsid w:val="074F739B"/>
    <w:rsid w:val="075F5104"/>
    <w:rsid w:val="07603356"/>
    <w:rsid w:val="07702E6D"/>
    <w:rsid w:val="07724E37"/>
    <w:rsid w:val="07846919"/>
    <w:rsid w:val="07972AF0"/>
    <w:rsid w:val="079F3753"/>
    <w:rsid w:val="07AD1FA7"/>
    <w:rsid w:val="07B471FE"/>
    <w:rsid w:val="07BC4304"/>
    <w:rsid w:val="07BF3534"/>
    <w:rsid w:val="07C733D5"/>
    <w:rsid w:val="07CD4764"/>
    <w:rsid w:val="07D478A0"/>
    <w:rsid w:val="07E6312F"/>
    <w:rsid w:val="07F65A68"/>
    <w:rsid w:val="07FB4E2D"/>
    <w:rsid w:val="080041F1"/>
    <w:rsid w:val="080D690E"/>
    <w:rsid w:val="08206641"/>
    <w:rsid w:val="082425D6"/>
    <w:rsid w:val="082500FC"/>
    <w:rsid w:val="08283748"/>
    <w:rsid w:val="082B15AE"/>
    <w:rsid w:val="082C148A"/>
    <w:rsid w:val="082F0F7A"/>
    <w:rsid w:val="08365E65"/>
    <w:rsid w:val="08471E20"/>
    <w:rsid w:val="085E58E2"/>
    <w:rsid w:val="086C1887"/>
    <w:rsid w:val="086E55FF"/>
    <w:rsid w:val="0870581B"/>
    <w:rsid w:val="08901A19"/>
    <w:rsid w:val="08AC25CB"/>
    <w:rsid w:val="08CE42EF"/>
    <w:rsid w:val="08D64E61"/>
    <w:rsid w:val="08D84677"/>
    <w:rsid w:val="08DF474E"/>
    <w:rsid w:val="08E04AE9"/>
    <w:rsid w:val="08E43B13"/>
    <w:rsid w:val="08F0070A"/>
    <w:rsid w:val="08F301FA"/>
    <w:rsid w:val="090B5543"/>
    <w:rsid w:val="090E5EA3"/>
    <w:rsid w:val="091343F8"/>
    <w:rsid w:val="09173EE8"/>
    <w:rsid w:val="09306D58"/>
    <w:rsid w:val="09336848"/>
    <w:rsid w:val="09432689"/>
    <w:rsid w:val="09442803"/>
    <w:rsid w:val="094D16B8"/>
    <w:rsid w:val="095F3199"/>
    <w:rsid w:val="096A04BC"/>
    <w:rsid w:val="096E7880"/>
    <w:rsid w:val="097924AD"/>
    <w:rsid w:val="099B68C7"/>
    <w:rsid w:val="09BF1E8A"/>
    <w:rsid w:val="09CF031F"/>
    <w:rsid w:val="09E518F1"/>
    <w:rsid w:val="09E638BB"/>
    <w:rsid w:val="09EF451D"/>
    <w:rsid w:val="0A287A2F"/>
    <w:rsid w:val="0A2D3298"/>
    <w:rsid w:val="0A391C3C"/>
    <w:rsid w:val="0A4E393A"/>
    <w:rsid w:val="0A6379BA"/>
    <w:rsid w:val="0A7113D6"/>
    <w:rsid w:val="0A782765"/>
    <w:rsid w:val="0A84735B"/>
    <w:rsid w:val="0A886720"/>
    <w:rsid w:val="0A8A693C"/>
    <w:rsid w:val="0A911A78"/>
    <w:rsid w:val="0A943317"/>
    <w:rsid w:val="0AA3355A"/>
    <w:rsid w:val="0AA479FE"/>
    <w:rsid w:val="0AAC0660"/>
    <w:rsid w:val="0AB15C77"/>
    <w:rsid w:val="0AB47515"/>
    <w:rsid w:val="0ABE2142"/>
    <w:rsid w:val="0AF3628F"/>
    <w:rsid w:val="0AFD2C6A"/>
    <w:rsid w:val="0AFD3C49"/>
    <w:rsid w:val="0B071D3B"/>
    <w:rsid w:val="0B100BEF"/>
    <w:rsid w:val="0B1C06CC"/>
    <w:rsid w:val="0B372620"/>
    <w:rsid w:val="0B386398"/>
    <w:rsid w:val="0B4D1B47"/>
    <w:rsid w:val="0B4E6DAF"/>
    <w:rsid w:val="0B505490"/>
    <w:rsid w:val="0B52745A"/>
    <w:rsid w:val="0B5807E8"/>
    <w:rsid w:val="0B584344"/>
    <w:rsid w:val="0B5C5BE2"/>
    <w:rsid w:val="0B7A075E"/>
    <w:rsid w:val="0B8415DD"/>
    <w:rsid w:val="0B892720"/>
    <w:rsid w:val="0B8B471A"/>
    <w:rsid w:val="0BC11EE9"/>
    <w:rsid w:val="0BCE4606"/>
    <w:rsid w:val="0BD240F7"/>
    <w:rsid w:val="0C0B7609"/>
    <w:rsid w:val="0C1E10EA"/>
    <w:rsid w:val="0C355862"/>
    <w:rsid w:val="0C360B29"/>
    <w:rsid w:val="0C3C5A14"/>
    <w:rsid w:val="0C460641"/>
    <w:rsid w:val="0C4B5C57"/>
    <w:rsid w:val="0C540FAF"/>
    <w:rsid w:val="0C5B0590"/>
    <w:rsid w:val="0C5C7E64"/>
    <w:rsid w:val="0C5E598A"/>
    <w:rsid w:val="0C654F6B"/>
    <w:rsid w:val="0C8C0749"/>
    <w:rsid w:val="0C9413AC"/>
    <w:rsid w:val="0CA737D5"/>
    <w:rsid w:val="0CAA0BCF"/>
    <w:rsid w:val="0CAA5073"/>
    <w:rsid w:val="0CAA6E21"/>
    <w:rsid w:val="0CAD06C0"/>
    <w:rsid w:val="0CB20307"/>
    <w:rsid w:val="0CEB1914"/>
    <w:rsid w:val="0D0436DB"/>
    <w:rsid w:val="0D116EA1"/>
    <w:rsid w:val="0D352B8F"/>
    <w:rsid w:val="0D374B59"/>
    <w:rsid w:val="0D3F756A"/>
    <w:rsid w:val="0D4903E8"/>
    <w:rsid w:val="0D6B0C4D"/>
    <w:rsid w:val="0D6E42F3"/>
    <w:rsid w:val="0D7511DD"/>
    <w:rsid w:val="0DAE46EF"/>
    <w:rsid w:val="0DD979BE"/>
    <w:rsid w:val="0DE10621"/>
    <w:rsid w:val="0E15651D"/>
    <w:rsid w:val="0E1704E7"/>
    <w:rsid w:val="0E1F739B"/>
    <w:rsid w:val="0E236E8B"/>
    <w:rsid w:val="0E3966AF"/>
    <w:rsid w:val="0E447F27"/>
    <w:rsid w:val="0E4D7F59"/>
    <w:rsid w:val="0E6F3E7F"/>
    <w:rsid w:val="0E736502"/>
    <w:rsid w:val="0E79232B"/>
    <w:rsid w:val="0E835B7C"/>
    <w:rsid w:val="0EB61AAE"/>
    <w:rsid w:val="0ECA7307"/>
    <w:rsid w:val="0ED168E7"/>
    <w:rsid w:val="0ED4462A"/>
    <w:rsid w:val="0ED71A24"/>
    <w:rsid w:val="0EE4486D"/>
    <w:rsid w:val="0EED1247"/>
    <w:rsid w:val="0EF600FC"/>
    <w:rsid w:val="0F000F7B"/>
    <w:rsid w:val="0F1B7B63"/>
    <w:rsid w:val="0F205179"/>
    <w:rsid w:val="0F4E1CE6"/>
    <w:rsid w:val="0F53554E"/>
    <w:rsid w:val="0F59068B"/>
    <w:rsid w:val="0F5A4B2F"/>
    <w:rsid w:val="0F7E679D"/>
    <w:rsid w:val="0F8676D2"/>
    <w:rsid w:val="0F8D546E"/>
    <w:rsid w:val="0F9C6EF5"/>
    <w:rsid w:val="0FA77648"/>
    <w:rsid w:val="0FAE6C29"/>
    <w:rsid w:val="0FB73D28"/>
    <w:rsid w:val="0FCE1079"/>
    <w:rsid w:val="0FD20B69"/>
    <w:rsid w:val="0FD541B5"/>
    <w:rsid w:val="0FF705D0"/>
    <w:rsid w:val="100625C1"/>
    <w:rsid w:val="101C2E9C"/>
    <w:rsid w:val="101C3B92"/>
    <w:rsid w:val="10401F77"/>
    <w:rsid w:val="10611EED"/>
    <w:rsid w:val="108160EB"/>
    <w:rsid w:val="109A3B9B"/>
    <w:rsid w:val="10A5627E"/>
    <w:rsid w:val="10AF4A06"/>
    <w:rsid w:val="10C2298C"/>
    <w:rsid w:val="10CC380A"/>
    <w:rsid w:val="10D97CD5"/>
    <w:rsid w:val="10DB1C9F"/>
    <w:rsid w:val="10DD6D05"/>
    <w:rsid w:val="10E548CC"/>
    <w:rsid w:val="10E87F18"/>
    <w:rsid w:val="10F16DCD"/>
    <w:rsid w:val="10F36FE9"/>
    <w:rsid w:val="10F92E76"/>
    <w:rsid w:val="11032FA4"/>
    <w:rsid w:val="11074842"/>
    <w:rsid w:val="110765F0"/>
    <w:rsid w:val="111D7BC2"/>
    <w:rsid w:val="1125116C"/>
    <w:rsid w:val="112A22DF"/>
    <w:rsid w:val="112E0021"/>
    <w:rsid w:val="113B0990"/>
    <w:rsid w:val="11457119"/>
    <w:rsid w:val="11625F1D"/>
    <w:rsid w:val="116752E1"/>
    <w:rsid w:val="116C28F7"/>
    <w:rsid w:val="1178129C"/>
    <w:rsid w:val="11A77DD3"/>
    <w:rsid w:val="11AC0F46"/>
    <w:rsid w:val="11AE1162"/>
    <w:rsid w:val="11B322D4"/>
    <w:rsid w:val="11C10E95"/>
    <w:rsid w:val="11CC15E8"/>
    <w:rsid w:val="11D16BFE"/>
    <w:rsid w:val="11D5049D"/>
    <w:rsid w:val="11DF756D"/>
    <w:rsid w:val="11F052D6"/>
    <w:rsid w:val="1202325C"/>
    <w:rsid w:val="12080872"/>
    <w:rsid w:val="120B0362"/>
    <w:rsid w:val="120E39AF"/>
    <w:rsid w:val="120F5084"/>
    <w:rsid w:val="1217196E"/>
    <w:rsid w:val="121976AB"/>
    <w:rsid w:val="121A05A5"/>
    <w:rsid w:val="12260CF8"/>
    <w:rsid w:val="12296A3A"/>
    <w:rsid w:val="124D44D7"/>
    <w:rsid w:val="12577104"/>
    <w:rsid w:val="126B2BAF"/>
    <w:rsid w:val="126D6927"/>
    <w:rsid w:val="12771554"/>
    <w:rsid w:val="12871AE1"/>
    <w:rsid w:val="12887C05"/>
    <w:rsid w:val="128F4AEF"/>
    <w:rsid w:val="12A22FC5"/>
    <w:rsid w:val="12AB744F"/>
    <w:rsid w:val="12B74046"/>
    <w:rsid w:val="12D1335A"/>
    <w:rsid w:val="12DC3AAD"/>
    <w:rsid w:val="12E36BE9"/>
    <w:rsid w:val="12EA7F78"/>
    <w:rsid w:val="12ED5CBA"/>
    <w:rsid w:val="12EF1A32"/>
    <w:rsid w:val="12FB2185"/>
    <w:rsid w:val="13082AF4"/>
    <w:rsid w:val="13182D37"/>
    <w:rsid w:val="132F1E2E"/>
    <w:rsid w:val="13345697"/>
    <w:rsid w:val="13581385"/>
    <w:rsid w:val="136E0BA9"/>
    <w:rsid w:val="13781A27"/>
    <w:rsid w:val="137837D5"/>
    <w:rsid w:val="13961EAE"/>
    <w:rsid w:val="13BB36C2"/>
    <w:rsid w:val="13CF0812"/>
    <w:rsid w:val="13D12EE6"/>
    <w:rsid w:val="13DC1FB6"/>
    <w:rsid w:val="13E62E35"/>
    <w:rsid w:val="13F6294C"/>
    <w:rsid w:val="13FC61B5"/>
    <w:rsid w:val="13FF6BDA"/>
    <w:rsid w:val="142179C9"/>
    <w:rsid w:val="144D478C"/>
    <w:rsid w:val="144E2788"/>
    <w:rsid w:val="145204CA"/>
    <w:rsid w:val="14733F9D"/>
    <w:rsid w:val="14860F55"/>
    <w:rsid w:val="1497412F"/>
    <w:rsid w:val="14997EA7"/>
    <w:rsid w:val="149C34F4"/>
    <w:rsid w:val="14A10B0A"/>
    <w:rsid w:val="14BE790E"/>
    <w:rsid w:val="14D62EA9"/>
    <w:rsid w:val="14D812E7"/>
    <w:rsid w:val="14F670A8"/>
    <w:rsid w:val="14FE72DC"/>
    <w:rsid w:val="150A2B53"/>
    <w:rsid w:val="15127C5A"/>
    <w:rsid w:val="151D55BB"/>
    <w:rsid w:val="15521C0E"/>
    <w:rsid w:val="15542020"/>
    <w:rsid w:val="155D7127"/>
    <w:rsid w:val="156264EB"/>
    <w:rsid w:val="15671D54"/>
    <w:rsid w:val="15673B02"/>
    <w:rsid w:val="157601E9"/>
    <w:rsid w:val="15793835"/>
    <w:rsid w:val="1582093B"/>
    <w:rsid w:val="158A77F0"/>
    <w:rsid w:val="158F3058"/>
    <w:rsid w:val="159266A5"/>
    <w:rsid w:val="159B7C4F"/>
    <w:rsid w:val="15A85EC8"/>
    <w:rsid w:val="15B11221"/>
    <w:rsid w:val="15C03212"/>
    <w:rsid w:val="15C153A3"/>
    <w:rsid w:val="15D02570"/>
    <w:rsid w:val="15F07F9B"/>
    <w:rsid w:val="15F31839"/>
    <w:rsid w:val="15F9724C"/>
    <w:rsid w:val="16013F56"/>
    <w:rsid w:val="161377E5"/>
    <w:rsid w:val="16223ECC"/>
    <w:rsid w:val="16493207"/>
    <w:rsid w:val="164E081E"/>
    <w:rsid w:val="16504596"/>
    <w:rsid w:val="1662251B"/>
    <w:rsid w:val="16632523"/>
    <w:rsid w:val="167A5AB7"/>
    <w:rsid w:val="167F131F"/>
    <w:rsid w:val="16822D1E"/>
    <w:rsid w:val="168626AD"/>
    <w:rsid w:val="168B1A72"/>
    <w:rsid w:val="169D3553"/>
    <w:rsid w:val="16A86180"/>
    <w:rsid w:val="16B92CEB"/>
    <w:rsid w:val="16BF171B"/>
    <w:rsid w:val="16E01DBD"/>
    <w:rsid w:val="16E178E4"/>
    <w:rsid w:val="16EA2C3C"/>
    <w:rsid w:val="16EF2001"/>
    <w:rsid w:val="16F5513D"/>
    <w:rsid w:val="16F94C2D"/>
    <w:rsid w:val="171C4DC0"/>
    <w:rsid w:val="173C4B1A"/>
    <w:rsid w:val="174639DD"/>
    <w:rsid w:val="17555BDC"/>
    <w:rsid w:val="17712A16"/>
    <w:rsid w:val="17773DA4"/>
    <w:rsid w:val="178F5592"/>
    <w:rsid w:val="179E3336"/>
    <w:rsid w:val="17B40B54"/>
    <w:rsid w:val="17D17958"/>
    <w:rsid w:val="17EE050A"/>
    <w:rsid w:val="17F04282"/>
    <w:rsid w:val="17F378CF"/>
    <w:rsid w:val="17FD699F"/>
    <w:rsid w:val="18001FEB"/>
    <w:rsid w:val="18003D99"/>
    <w:rsid w:val="18104D99"/>
    <w:rsid w:val="18245CDA"/>
    <w:rsid w:val="18335F1D"/>
    <w:rsid w:val="183B3024"/>
    <w:rsid w:val="18422604"/>
    <w:rsid w:val="18455BFA"/>
    <w:rsid w:val="18602A8A"/>
    <w:rsid w:val="18702CCD"/>
    <w:rsid w:val="187327BD"/>
    <w:rsid w:val="18934C0E"/>
    <w:rsid w:val="189746FE"/>
    <w:rsid w:val="189866C8"/>
    <w:rsid w:val="18A137CE"/>
    <w:rsid w:val="18A40BC9"/>
    <w:rsid w:val="18AC5CCF"/>
    <w:rsid w:val="18B7584D"/>
    <w:rsid w:val="18B828C6"/>
    <w:rsid w:val="18C33745"/>
    <w:rsid w:val="18C43019"/>
    <w:rsid w:val="18CD0120"/>
    <w:rsid w:val="18D114E5"/>
    <w:rsid w:val="18D23988"/>
    <w:rsid w:val="18D72D4C"/>
    <w:rsid w:val="18DF7E53"/>
    <w:rsid w:val="18E15979"/>
    <w:rsid w:val="18F953B8"/>
    <w:rsid w:val="190B50EC"/>
    <w:rsid w:val="190B7307"/>
    <w:rsid w:val="192D6E10"/>
    <w:rsid w:val="19322678"/>
    <w:rsid w:val="19493AC2"/>
    <w:rsid w:val="195F2D42"/>
    <w:rsid w:val="19622F5E"/>
    <w:rsid w:val="196640D0"/>
    <w:rsid w:val="1968609A"/>
    <w:rsid w:val="196D1903"/>
    <w:rsid w:val="19720CC7"/>
    <w:rsid w:val="197D7D98"/>
    <w:rsid w:val="199B6470"/>
    <w:rsid w:val="19B117EF"/>
    <w:rsid w:val="19B906A4"/>
    <w:rsid w:val="19D90D46"/>
    <w:rsid w:val="19D92AF4"/>
    <w:rsid w:val="19E80F89"/>
    <w:rsid w:val="19E82D37"/>
    <w:rsid w:val="19F16090"/>
    <w:rsid w:val="1A002777"/>
    <w:rsid w:val="1A037B71"/>
    <w:rsid w:val="1A231FC1"/>
    <w:rsid w:val="1A3F6DFB"/>
    <w:rsid w:val="1A444411"/>
    <w:rsid w:val="1A4C32C6"/>
    <w:rsid w:val="1A5B175B"/>
    <w:rsid w:val="1A7171D0"/>
    <w:rsid w:val="1A766595"/>
    <w:rsid w:val="1A7A42D7"/>
    <w:rsid w:val="1A807414"/>
    <w:rsid w:val="1AA44EB0"/>
    <w:rsid w:val="1AA73698"/>
    <w:rsid w:val="1AE6371B"/>
    <w:rsid w:val="1AE96D67"/>
    <w:rsid w:val="1AF5395E"/>
    <w:rsid w:val="1AFA5418"/>
    <w:rsid w:val="1AFD2812"/>
    <w:rsid w:val="1B204184"/>
    <w:rsid w:val="1B2129A5"/>
    <w:rsid w:val="1B2D759B"/>
    <w:rsid w:val="1B46065D"/>
    <w:rsid w:val="1B4B5C73"/>
    <w:rsid w:val="1B634D6B"/>
    <w:rsid w:val="1B6F3710"/>
    <w:rsid w:val="1B7900EB"/>
    <w:rsid w:val="1B943177"/>
    <w:rsid w:val="1BB11F7A"/>
    <w:rsid w:val="1BC11A92"/>
    <w:rsid w:val="1BC25F36"/>
    <w:rsid w:val="1BDF39E0"/>
    <w:rsid w:val="1BE37C5A"/>
    <w:rsid w:val="1BE85270"/>
    <w:rsid w:val="1BEC4D61"/>
    <w:rsid w:val="1BEC6B0F"/>
    <w:rsid w:val="1BEF65FF"/>
    <w:rsid w:val="1BF9747E"/>
    <w:rsid w:val="1C0E117B"/>
    <w:rsid w:val="1C136791"/>
    <w:rsid w:val="1C2C7853"/>
    <w:rsid w:val="1C33473D"/>
    <w:rsid w:val="1C4E1577"/>
    <w:rsid w:val="1C580648"/>
    <w:rsid w:val="1C5E5533"/>
    <w:rsid w:val="1C6E7E6B"/>
    <w:rsid w:val="1C6F14EE"/>
    <w:rsid w:val="1C71170A"/>
    <w:rsid w:val="1C76287C"/>
    <w:rsid w:val="1C907DE2"/>
    <w:rsid w:val="1C9A0C60"/>
    <w:rsid w:val="1CA76EDA"/>
    <w:rsid w:val="1CAB4C1C"/>
    <w:rsid w:val="1CB11B06"/>
    <w:rsid w:val="1CB87339"/>
    <w:rsid w:val="1CD001DE"/>
    <w:rsid w:val="1CDD1F1D"/>
    <w:rsid w:val="1CEB14BC"/>
    <w:rsid w:val="1CF06AD2"/>
    <w:rsid w:val="1CFC5477"/>
    <w:rsid w:val="1D0460DA"/>
    <w:rsid w:val="1D0F7723"/>
    <w:rsid w:val="1D13456F"/>
    <w:rsid w:val="1D1C78C7"/>
    <w:rsid w:val="1D210A3A"/>
    <w:rsid w:val="1D232A04"/>
    <w:rsid w:val="1D306ECF"/>
    <w:rsid w:val="1D3A1AFC"/>
    <w:rsid w:val="1D3F5364"/>
    <w:rsid w:val="1D4D182F"/>
    <w:rsid w:val="1D666D95"/>
    <w:rsid w:val="1D69418F"/>
    <w:rsid w:val="1D792624"/>
    <w:rsid w:val="1D84721B"/>
    <w:rsid w:val="1D9A4FDF"/>
    <w:rsid w:val="1D9B6A3E"/>
    <w:rsid w:val="1DA17DCD"/>
    <w:rsid w:val="1DB7139E"/>
    <w:rsid w:val="1DB7314C"/>
    <w:rsid w:val="1DB96EC4"/>
    <w:rsid w:val="1DBC0763"/>
    <w:rsid w:val="1DBE097F"/>
    <w:rsid w:val="1DBE44DB"/>
    <w:rsid w:val="1DD41F50"/>
    <w:rsid w:val="1DE34601"/>
    <w:rsid w:val="1DEC2126"/>
    <w:rsid w:val="1DFE521F"/>
    <w:rsid w:val="1E1D38F7"/>
    <w:rsid w:val="1E4D585F"/>
    <w:rsid w:val="1E4E3AB1"/>
    <w:rsid w:val="1E5312A9"/>
    <w:rsid w:val="1E544E3F"/>
    <w:rsid w:val="1E5D0198"/>
    <w:rsid w:val="1E71779F"/>
    <w:rsid w:val="1E8C45D9"/>
    <w:rsid w:val="1E933BB9"/>
    <w:rsid w:val="1EAF2075"/>
    <w:rsid w:val="1EB458DE"/>
    <w:rsid w:val="1EB85578"/>
    <w:rsid w:val="1EBB6C6C"/>
    <w:rsid w:val="1ED85A70"/>
    <w:rsid w:val="1EDC730E"/>
    <w:rsid w:val="1EDD6BE3"/>
    <w:rsid w:val="1EE12B77"/>
    <w:rsid w:val="1EFC175F"/>
    <w:rsid w:val="1F0028D1"/>
    <w:rsid w:val="1F1B770B"/>
    <w:rsid w:val="1F1F71FB"/>
    <w:rsid w:val="1F244811"/>
    <w:rsid w:val="1F2962CC"/>
    <w:rsid w:val="1F2C36C6"/>
    <w:rsid w:val="1F2E743E"/>
    <w:rsid w:val="1F42113B"/>
    <w:rsid w:val="1F703EFB"/>
    <w:rsid w:val="1F745799"/>
    <w:rsid w:val="1F7E2174"/>
    <w:rsid w:val="1F833C2E"/>
    <w:rsid w:val="1F8D6E0B"/>
    <w:rsid w:val="1F971487"/>
    <w:rsid w:val="1FCB1131"/>
    <w:rsid w:val="1FEA7809"/>
    <w:rsid w:val="1FEB532F"/>
    <w:rsid w:val="1FF70178"/>
    <w:rsid w:val="2000527E"/>
    <w:rsid w:val="20020FF7"/>
    <w:rsid w:val="200A3A07"/>
    <w:rsid w:val="201C373B"/>
    <w:rsid w:val="2035321B"/>
    <w:rsid w:val="20360CA0"/>
    <w:rsid w:val="20476A09"/>
    <w:rsid w:val="20651585"/>
    <w:rsid w:val="2080016D"/>
    <w:rsid w:val="20915A8E"/>
    <w:rsid w:val="20B41BC5"/>
    <w:rsid w:val="20B47E17"/>
    <w:rsid w:val="20E22BD6"/>
    <w:rsid w:val="20E406FC"/>
    <w:rsid w:val="20FA7F20"/>
    <w:rsid w:val="210B3EDB"/>
    <w:rsid w:val="211C7E96"/>
    <w:rsid w:val="212136FE"/>
    <w:rsid w:val="21311468"/>
    <w:rsid w:val="21521B0A"/>
    <w:rsid w:val="215D400B"/>
    <w:rsid w:val="216058A9"/>
    <w:rsid w:val="21627873"/>
    <w:rsid w:val="217D46AD"/>
    <w:rsid w:val="21AB121A"/>
    <w:rsid w:val="21C1459A"/>
    <w:rsid w:val="21C35171"/>
    <w:rsid w:val="21D32A53"/>
    <w:rsid w:val="21E604A4"/>
    <w:rsid w:val="21E93AF0"/>
    <w:rsid w:val="21F20BF7"/>
    <w:rsid w:val="21F4496F"/>
    <w:rsid w:val="21FE57EE"/>
    <w:rsid w:val="220A6852"/>
    <w:rsid w:val="220D3C83"/>
    <w:rsid w:val="22123047"/>
    <w:rsid w:val="22124DF5"/>
    <w:rsid w:val="222D1C2F"/>
    <w:rsid w:val="2230171F"/>
    <w:rsid w:val="223374E5"/>
    <w:rsid w:val="22396826"/>
    <w:rsid w:val="223C1278"/>
    <w:rsid w:val="226118D9"/>
    <w:rsid w:val="227635D6"/>
    <w:rsid w:val="22794E74"/>
    <w:rsid w:val="229E48DB"/>
    <w:rsid w:val="22AA3280"/>
    <w:rsid w:val="22AD4B1E"/>
    <w:rsid w:val="22B1460E"/>
    <w:rsid w:val="22B61C24"/>
    <w:rsid w:val="22BB36DF"/>
    <w:rsid w:val="22D622C7"/>
    <w:rsid w:val="22EE13BE"/>
    <w:rsid w:val="23360FB7"/>
    <w:rsid w:val="23426EE9"/>
    <w:rsid w:val="238166D6"/>
    <w:rsid w:val="238803A7"/>
    <w:rsid w:val="23897339"/>
    <w:rsid w:val="238B1303"/>
    <w:rsid w:val="23A203FB"/>
    <w:rsid w:val="23E66539"/>
    <w:rsid w:val="23FA1FE5"/>
    <w:rsid w:val="24003A9F"/>
    <w:rsid w:val="24015121"/>
    <w:rsid w:val="240F3CE2"/>
    <w:rsid w:val="24150BCD"/>
    <w:rsid w:val="24455956"/>
    <w:rsid w:val="244B0A92"/>
    <w:rsid w:val="245C2C9F"/>
    <w:rsid w:val="246102B6"/>
    <w:rsid w:val="24612064"/>
    <w:rsid w:val="246F652F"/>
    <w:rsid w:val="24704055"/>
    <w:rsid w:val="247B1377"/>
    <w:rsid w:val="24853FA4"/>
    <w:rsid w:val="249C309C"/>
    <w:rsid w:val="24A51F50"/>
    <w:rsid w:val="24A65CC9"/>
    <w:rsid w:val="24A81A41"/>
    <w:rsid w:val="24A85EE5"/>
    <w:rsid w:val="24AE34FB"/>
    <w:rsid w:val="24B228BF"/>
    <w:rsid w:val="24B2466D"/>
    <w:rsid w:val="24BE3012"/>
    <w:rsid w:val="24C3687B"/>
    <w:rsid w:val="24DB0068"/>
    <w:rsid w:val="24DE1906"/>
    <w:rsid w:val="24E011DB"/>
    <w:rsid w:val="24EA02AB"/>
    <w:rsid w:val="24F353B2"/>
    <w:rsid w:val="250550E5"/>
    <w:rsid w:val="25115838"/>
    <w:rsid w:val="2522299D"/>
    <w:rsid w:val="252437BD"/>
    <w:rsid w:val="252A06A8"/>
    <w:rsid w:val="2536529E"/>
    <w:rsid w:val="25393BC7"/>
    <w:rsid w:val="253D5922"/>
    <w:rsid w:val="253D662D"/>
    <w:rsid w:val="253F4153"/>
    <w:rsid w:val="2540611D"/>
    <w:rsid w:val="2549584E"/>
    <w:rsid w:val="25545725"/>
    <w:rsid w:val="2557361F"/>
    <w:rsid w:val="256736AA"/>
    <w:rsid w:val="256E7CC8"/>
    <w:rsid w:val="258B383C"/>
    <w:rsid w:val="2593624D"/>
    <w:rsid w:val="259D531E"/>
    <w:rsid w:val="25A71CF8"/>
    <w:rsid w:val="25AB7A3A"/>
    <w:rsid w:val="25AE3087"/>
    <w:rsid w:val="25B85CB3"/>
    <w:rsid w:val="25C428AA"/>
    <w:rsid w:val="25CB1E8B"/>
    <w:rsid w:val="25CE3729"/>
    <w:rsid w:val="25D32AED"/>
    <w:rsid w:val="25D80104"/>
    <w:rsid w:val="25D845A8"/>
    <w:rsid w:val="260929B3"/>
    <w:rsid w:val="26431A21"/>
    <w:rsid w:val="264439EB"/>
    <w:rsid w:val="264A2206"/>
    <w:rsid w:val="264B4D7A"/>
    <w:rsid w:val="26591245"/>
    <w:rsid w:val="265C2AE3"/>
    <w:rsid w:val="265E4AAD"/>
    <w:rsid w:val="26624D38"/>
    <w:rsid w:val="266D2F42"/>
    <w:rsid w:val="266F0A68"/>
    <w:rsid w:val="26795C3D"/>
    <w:rsid w:val="268F110A"/>
    <w:rsid w:val="26A821CC"/>
    <w:rsid w:val="26AA1AA0"/>
    <w:rsid w:val="26B02E56"/>
    <w:rsid w:val="26C1503C"/>
    <w:rsid w:val="26C3007C"/>
    <w:rsid w:val="26C863CA"/>
    <w:rsid w:val="26D94133"/>
    <w:rsid w:val="26DB60FD"/>
    <w:rsid w:val="26E054C2"/>
    <w:rsid w:val="26E428C0"/>
    <w:rsid w:val="26E72CF4"/>
    <w:rsid w:val="26EA00EF"/>
    <w:rsid w:val="26F40F6D"/>
    <w:rsid w:val="27005B64"/>
    <w:rsid w:val="27027B2E"/>
    <w:rsid w:val="270D0281"/>
    <w:rsid w:val="271B0BF0"/>
    <w:rsid w:val="2734580E"/>
    <w:rsid w:val="273870AC"/>
    <w:rsid w:val="274517C9"/>
    <w:rsid w:val="27516110"/>
    <w:rsid w:val="275B0FEC"/>
    <w:rsid w:val="27606603"/>
    <w:rsid w:val="277A3B68"/>
    <w:rsid w:val="279544FE"/>
    <w:rsid w:val="27B24862"/>
    <w:rsid w:val="27B34984"/>
    <w:rsid w:val="27B56A80"/>
    <w:rsid w:val="27B801ED"/>
    <w:rsid w:val="27D72D69"/>
    <w:rsid w:val="27E2526A"/>
    <w:rsid w:val="28011B94"/>
    <w:rsid w:val="28133675"/>
    <w:rsid w:val="28137B19"/>
    <w:rsid w:val="28177609"/>
    <w:rsid w:val="28292E99"/>
    <w:rsid w:val="282D0BDB"/>
    <w:rsid w:val="283830DC"/>
    <w:rsid w:val="284101E2"/>
    <w:rsid w:val="2859377E"/>
    <w:rsid w:val="285C326E"/>
    <w:rsid w:val="28616AD6"/>
    <w:rsid w:val="28620159"/>
    <w:rsid w:val="286F11F3"/>
    <w:rsid w:val="286F2FA1"/>
    <w:rsid w:val="287C121A"/>
    <w:rsid w:val="288822B5"/>
    <w:rsid w:val="289E73E3"/>
    <w:rsid w:val="289F315B"/>
    <w:rsid w:val="28A40771"/>
    <w:rsid w:val="28BC3D0D"/>
    <w:rsid w:val="28C2430A"/>
    <w:rsid w:val="28C36E49"/>
    <w:rsid w:val="28D252DE"/>
    <w:rsid w:val="28DB0637"/>
    <w:rsid w:val="28EA2628"/>
    <w:rsid w:val="28ED2118"/>
    <w:rsid w:val="28F2772E"/>
    <w:rsid w:val="28FD67FF"/>
    <w:rsid w:val="29211DC2"/>
    <w:rsid w:val="29235B3A"/>
    <w:rsid w:val="29253660"/>
    <w:rsid w:val="29355772"/>
    <w:rsid w:val="29373393"/>
    <w:rsid w:val="294D2BB7"/>
    <w:rsid w:val="295403E9"/>
    <w:rsid w:val="295D104C"/>
    <w:rsid w:val="296323DA"/>
    <w:rsid w:val="29692C59"/>
    <w:rsid w:val="2987431B"/>
    <w:rsid w:val="298C7B83"/>
    <w:rsid w:val="298F1421"/>
    <w:rsid w:val="29AF73CD"/>
    <w:rsid w:val="29C63095"/>
    <w:rsid w:val="29D37560"/>
    <w:rsid w:val="29D532D8"/>
    <w:rsid w:val="29DD218D"/>
    <w:rsid w:val="29EC6874"/>
    <w:rsid w:val="29EE6148"/>
    <w:rsid w:val="29F15C38"/>
    <w:rsid w:val="2A0140CD"/>
    <w:rsid w:val="2A021804"/>
    <w:rsid w:val="2A257690"/>
    <w:rsid w:val="2A391AB9"/>
    <w:rsid w:val="2A5163EF"/>
    <w:rsid w:val="2A5C7555"/>
    <w:rsid w:val="2A6603D4"/>
    <w:rsid w:val="2A693A20"/>
    <w:rsid w:val="2A750617"/>
    <w:rsid w:val="2A7A3E7F"/>
    <w:rsid w:val="2A7A5C2D"/>
    <w:rsid w:val="2A9A007E"/>
    <w:rsid w:val="2AA607D0"/>
    <w:rsid w:val="2AC27709"/>
    <w:rsid w:val="2AC82E3D"/>
    <w:rsid w:val="2ACB6489"/>
    <w:rsid w:val="2AD72263"/>
    <w:rsid w:val="2AE31A25"/>
    <w:rsid w:val="2AF92FF6"/>
    <w:rsid w:val="2B013C59"/>
    <w:rsid w:val="2B231E21"/>
    <w:rsid w:val="2B285689"/>
    <w:rsid w:val="2B406E77"/>
    <w:rsid w:val="2B5B377E"/>
    <w:rsid w:val="2B6D12EE"/>
    <w:rsid w:val="2B7B3A0B"/>
    <w:rsid w:val="2B7B7EAF"/>
    <w:rsid w:val="2B8C5C18"/>
    <w:rsid w:val="2BA2041D"/>
    <w:rsid w:val="2BB05DAB"/>
    <w:rsid w:val="2BB4516F"/>
    <w:rsid w:val="2BC74EA2"/>
    <w:rsid w:val="2BCA04EF"/>
    <w:rsid w:val="2BCA6741"/>
    <w:rsid w:val="2BD575BF"/>
    <w:rsid w:val="2BDD46C6"/>
    <w:rsid w:val="2BE94E19"/>
    <w:rsid w:val="2C414C55"/>
    <w:rsid w:val="2C536736"/>
    <w:rsid w:val="2C5801F0"/>
    <w:rsid w:val="2C6941AB"/>
    <w:rsid w:val="2C6C77F8"/>
    <w:rsid w:val="2C7A3CC3"/>
    <w:rsid w:val="2C970D19"/>
    <w:rsid w:val="2CA64AB8"/>
    <w:rsid w:val="2CB216AE"/>
    <w:rsid w:val="2CCB451E"/>
    <w:rsid w:val="2CD31625"/>
    <w:rsid w:val="2CD755B9"/>
    <w:rsid w:val="2CDA259B"/>
    <w:rsid w:val="2CFB12A7"/>
    <w:rsid w:val="2CFC5020"/>
    <w:rsid w:val="2D016192"/>
    <w:rsid w:val="2D085772"/>
    <w:rsid w:val="2D39592C"/>
    <w:rsid w:val="2D3C71CA"/>
    <w:rsid w:val="2D406CBA"/>
    <w:rsid w:val="2D426ED6"/>
    <w:rsid w:val="2D541CB0"/>
    <w:rsid w:val="2D5664DE"/>
    <w:rsid w:val="2D6C147E"/>
    <w:rsid w:val="2D74105A"/>
    <w:rsid w:val="2D7746A6"/>
    <w:rsid w:val="2D8079FF"/>
    <w:rsid w:val="2D8F19F0"/>
    <w:rsid w:val="2D9A2C02"/>
    <w:rsid w:val="2D9C5EBB"/>
    <w:rsid w:val="2DA01E4F"/>
    <w:rsid w:val="2DAA05D8"/>
    <w:rsid w:val="2DAA682A"/>
    <w:rsid w:val="2DAC4350"/>
    <w:rsid w:val="2DB256DE"/>
    <w:rsid w:val="2DB31B82"/>
    <w:rsid w:val="2DB41456"/>
    <w:rsid w:val="2DBB0A37"/>
    <w:rsid w:val="2DBD47AF"/>
    <w:rsid w:val="2DCD42C6"/>
    <w:rsid w:val="2DF6381D"/>
    <w:rsid w:val="2DFF6B75"/>
    <w:rsid w:val="2E0917A2"/>
    <w:rsid w:val="2E165C6D"/>
    <w:rsid w:val="2E2C723F"/>
    <w:rsid w:val="2E310CF9"/>
    <w:rsid w:val="2E474078"/>
    <w:rsid w:val="2E56075F"/>
    <w:rsid w:val="2E560BBA"/>
    <w:rsid w:val="2E5A00E0"/>
    <w:rsid w:val="2E5D1AEE"/>
    <w:rsid w:val="2E772BB0"/>
    <w:rsid w:val="2E9279E9"/>
    <w:rsid w:val="2EA25753"/>
    <w:rsid w:val="2ED55B28"/>
    <w:rsid w:val="2ED7364E"/>
    <w:rsid w:val="2EE47B19"/>
    <w:rsid w:val="2EEE0998"/>
    <w:rsid w:val="2F1F6E53"/>
    <w:rsid w:val="2F204FF5"/>
    <w:rsid w:val="2F230642"/>
    <w:rsid w:val="2F2F5238"/>
    <w:rsid w:val="2F4A02C4"/>
    <w:rsid w:val="2F6A2714"/>
    <w:rsid w:val="2FA06136"/>
    <w:rsid w:val="2FA75F07"/>
    <w:rsid w:val="2FB219C5"/>
    <w:rsid w:val="2FD61B58"/>
    <w:rsid w:val="2FD7142C"/>
    <w:rsid w:val="2FDC6A42"/>
    <w:rsid w:val="2FE029D7"/>
    <w:rsid w:val="2FE778C1"/>
    <w:rsid w:val="2FEF0BC4"/>
    <w:rsid w:val="2FF43D8C"/>
    <w:rsid w:val="30100E23"/>
    <w:rsid w:val="30240B15"/>
    <w:rsid w:val="30313232"/>
    <w:rsid w:val="30314FE0"/>
    <w:rsid w:val="3034062C"/>
    <w:rsid w:val="3034687E"/>
    <w:rsid w:val="303D3985"/>
    <w:rsid w:val="30592A22"/>
    <w:rsid w:val="30817D16"/>
    <w:rsid w:val="30823A8E"/>
    <w:rsid w:val="309D2676"/>
    <w:rsid w:val="30AC4667"/>
    <w:rsid w:val="30AD0B0B"/>
    <w:rsid w:val="30AE4883"/>
    <w:rsid w:val="30B73737"/>
    <w:rsid w:val="30C3032E"/>
    <w:rsid w:val="30DC13F0"/>
    <w:rsid w:val="30E3452C"/>
    <w:rsid w:val="30F71D86"/>
    <w:rsid w:val="31010E56"/>
    <w:rsid w:val="31181CFC"/>
    <w:rsid w:val="311A1F18"/>
    <w:rsid w:val="31293F09"/>
    <w:rsid w:val="313A5268"/>
    <w:rsid w:val="31434FCB"/>
    <w:rsid w:val="31466869"/>
    <w:rsid w:val="316D2048"/>
    <w:rsid w:val="31771119"/>
    <w:rsid w:val="318A2BFA"/>
    <w:rsid w:val="31AB2B70"/>
    <w:rsid w:val="31B61C41"/>
    <w:rsid w:val="31B934DF"/>
    <w:rsid w:val="31E3230A"/>
    <w:rsid w:val="31EB11BF"/>
    <w:rsid w:val="31F44517"/>
    <w:rsid w:val="320337AA"/>
    <w:rsid w:val="32044820"/>
    <w:rsid w:val="320F30FF"/>
    <w:rsid w:val="32193F7E"/>
    <w:rsid w:val="321D581C"/>
    <w:rsid w:val="32236BAB"/>
    <w:rsid w:val="324E3745"/>
    <w:rsid w:val="32584AA6"/>
    <w:rsid w:val="325925CC"/>
    <w:rsid w:val="32607DFF"/>
    <w:rsid w:val="32690A61"/>
    <w:rsid w:val="326F3B9E"/>
    <w:rsid w:val="32700042"/>
    <w:rsid w:val="32794A1C"/>
    <w:rsid w:val="32821B23"/>
    <w:rsid w:val="32843AED"/>
    <w:rsid w:val="32891103"/>
    <w:rsid w:val="32A56128"/>
    <w:rsid w:val="32A73338"/>
    <w:rsid w:val="32C4213C"/>
    <w:rsid w:val="32DD76BC"/>
    <w:rsid w:val="32E4633A"/>
    <w:rsid w:val="32F81DE5"/>
    <w:rsid w:val="32FA5B5D"/>
    <w:rsid w:val="33044C2E"/>
    <w:rsid w:val="331630E0"/>
    <w:rsid w:val="331704BD"/>
    <w:rsid w:val="331F7372"/>
    <w:rsid w:val="3320259A"/>
    <w:rsid w:val="3330332D"/>
    <w:rsid w:val="33386686"/>
    <w:rsid w:val="333D0683"/>
    <w:rsid w:val="33484B1B"/>
    <w:rsid w:val="335E56A9"/>
    <w:rsid w:val="33680E30"/>
    <w:rsid w:val="33B757FC"/>
    <w:rsid w:val="33CA5530"/>
    <w:rsid w:val="33CB5324"/>
    <w:rsid w:val="33F26834"/>
    <w:rsid w:val="33F86541"/>
    <w:rsid w:val="33FB393B"/>
    <w:rsid w:val="34076784"/>
    <w:rsid w:val="340D366E"/>
    <w:rsid w:val="341D7D55"/>
    <w:rsid w:val="342C7F98"/>
    <w:rsid w:val="34441786"/>
    <w:rsid w:val="344C063B"/>
    <w:rsid w:val="34525300"/>
    <w:rsid w:val="345614B9"/>
    <w:rsid w:val="345C0152"/>
    <w:rsid w:val="346534AA"/>
    <w:rsid w:val="34796F56"/>
    <w:rsid w:val="347B0F20"/>
    <w:rsid w:val="348A4CBF"/>
    <w:rsid w:val="349A75F8"/>
    <w:rsid w:val="34A35D81"/>
    <w:rsid w:val="34AB1E24"/>
    <w:rsid w:val="34BD5094"/>
    <w:rsid w:val="34D523DE"/>
    <w:rsid w:val="34E02B31"/>
    <w:rsid w:val="34FD7B87"/>
    <w:rsid w:val="35103416"/>
    <w:rsid w:val="3511718E"/>
    <w:rsid w:val="35154ED0"/>
    <w:rsid w:val="354457B6"/>
    <w:rsid w:val="35527ED3"/>
    <w:rsid w:val="35611EC4"/>
    <w:rsid w:val="356674DA"/>
    <w:rsid w:val="357F234A"/>
    <w:rsid w:val="3586192A"/>
    <w:rsid w:val="35A818A1"/>
    <w:rsid w:val="35AD5109"/>
    <w:rsid w:val="35B75F88"/>
    <w:rsid w:val="35C275C5"/>
    <w:rsid w:val="35D73F34"/>
    <w:rsid w:val="35DE6791"/>
    <w:rsid w:val="35E14DB3"/>
    <w:rsid w:val="35F72828"/>
    <w:rsid w:val="3612023A"/>
    <w:rsid w:val="361C5DEB"/>
    <w:rsid w:val="36211653"/>
    <w:rsid w:val="362A49AB"/>
    <w:rsid w:val="36372C24"/>
    <w:rsid w:val="36373EE6"/>
    <w:rsid w:val="363B0967"/>
    <w:rsid w:val="363B2715"/>
    <w:rsid w:val="36533F02"/>
    <w:rsid w:val="36592B9B"/>
    <w:rsid w:val="36603F29"/>
    <w:rsid w:val="366A124C"/>
    <w:rsid w:val="366D6646"/>
    <w:rsid w:val="366F2084"/>
    <w:rsid w:val="367E6AA5"/>
    <w:rsid w:val="368045CB"/>
    <w:rsid w:val="368220F2"/>
    <w:rsid w:val="36A91D74"/>
    <w:rsid w:val="36B048E0"/>
    <w:rsid w:val="36B67FED"/>
    <w:rsid w:val="36BF3346"/>
    <w:rsid w:val="36C344B8"/>
    <w:rsid w:val="36CC5A63"/>
    <w:rsid w:val="36E20DE2"/>
    <w:rsid w:val="36E52680"/>
    <w:rsid w:val="36E96615"/>
    <w:rsid w:val="36F17277"/>
    <w:rsid w:val="370A0339"/>
    <w:rsid w:val="37113475"/>
    <w:rsid w:val="372431A9"/>
    <w:rsid w:val="3725246C"/>
    <w:rsid w:val="373158C6"/>
    <w:rsid w:val="374455F9"/>
    <w:rsid w:val="375A6BCB"/>
    <w:rsid w:val="37645C9B"/>
    <w:rsid w:val="378974B0"/>
    <w:rsid w:val="379E73FF"/>
    <w:rsid w:val="37A662B4"/>
    <w:rsid w:val="37A75B88"/>
    <w:rsid w:val="37D050DF"/>
    <w:rsid w:val="37E8067A"/>
    <w:rsid w:val="37FC2378"/>
    <w:rsid w:val="380D1E8F"/>
    <w:rsid w:val="383438BF"/>
    <w:rsid w:val="384B0C09"/>
    <w:rsid w:val="384B29B7"/>
    <w:rsid w:val="38557D77"/>
    <w:rsid w:val="385750D3"/>
    <w:rsid w:val="38637D01"/>
    <w:rsid w:val="38763ED8"/>
    <w:rsid w:val="3881462B"/>
    <w:rsid w:val="388A1731"/>
    <w:rsid w:val="38A04AB1"/>
    <w:rsid w:val="38B247E4"/>
    <w:rsid w:val="38BB5D8F"/>
    <w:rsid w:val="38D96215"/>
    <w:rsid w:val="38EF5A38"/>
    <w:rsid w:val="3905700A"/>
    <w:rsid w:val="390C0398"/>
    <w:rsid w:val="39113C01"/>
    <w:rsid w:val="391B4A7F"/>
    <w:rsid w:val="393D67A4"/>
    <w:rsid w:val="394E7CFE"/>
    <w:rsid w:val="39657AA9"/>
    <w:rsid w:val="396A3D3B"/>
    <w:rsid w:val="396C0E37"/>
    <w:rsid w:val="396E1053"/>
    <w:rsid w:val="39783C80"/>
    <w:rsid w:val="397B72CC"/>
    <w:rsid w:val="397D3044"/>
    <w:rsid w:val="39CE38A0"/>
    <w:rsid w:val="39D32C64"/>
    <w:rsid w:val="39D8471E"/>
    <w:rsid w:val="39F03816"/>
    <w:rsid w:val="39F2758E"/>
    <w:rsid w:val="3A06303A"/>
    <w:rsid w:val="3A104FF1"/>
    <w:rsid w:val="3A157721"/>
    <w:rsid w:val="3A1A6AE5"/>
    <w:rsid w:val="3A1C460B"/>
    <w:rsid w:val="3A1E65D5"/>
    <w:rsid w:val="3A35391F"/>
    <w:rsid w:val="3A371445"/>
    <w:rsid w:val="3A40479E"/>
    <w:rsid w:val="3A4678DA"/>
    <w:rsid w:val="3A485400"/>
    <w:rsid w:val="3A643572"/>
    <w:rsid w:val="3A8D375B"/>
    <w:rsid w:val="3A976388"/>
    <w:rsid w:val="3AA34D2C"/>
    <w:rsid w:val="3AC0143A"/>
    <w:rsid w:val="3ACA4067"/>
    <w:rsid w:val="3AD62A0C"/>
    <w:rsid w:val="3AD76784"/>
    <w:rsid w:val="3ADD1FEC"/>
    <w:rsid w:val="3AE07D2F"/>
    <w:rsid w:val="3AED7D56"/>
    <w:rsid w:val="3AFD61EB"/>
    <w:rsid w:val="3B225A7F"/>
    <w:rsid w:val="3B2A2D58"/>
    <w:rsid w:val="3B5F481A"/>
    <w:rsid w:val="3B651FE2"/>
    <w:rsid w:val="3B7A783B"/>
    <w:rsid w:val="3B842468"/>
    <w:rsid w:val="3B892174"/>
    <w:rsid w:val="3BA65288"/>
    <w:rsid w:val="3BB014AF"/>
    <w:rsid w:val="3BC211E2"/>
    <w:rsid w:val="3BC62A80"/>
    <w:rsid w:val="3BCC3E0F"/>
    <w:rsid w:val="3BD50F16"/>
    <w:rsid w:val="3BD57167"/>
    <w:rsid w:val="3BE9676F"/>
    <w:rsid w:val="3BFC46F4"/>
    <w:rsid w:val="3C0161AE"/>
    <w:rsid w:val="3C065573"/>
    <w:rsid w:val="3C0B4937"/>
    <w:rsid w:val="3C145EE2"/>
    <w:rsid w:val="3C2459F9"/>
    <w:rsid w:val="3C340332"/>
    <w:rsid w:val="3C355E58"/>
    <w:rsid w:val="3C391AE3"/>
    <w:rsid w:val="3C447E49"/>
    <w:rsid w:val="3C4542ED"/>
    <w:rsid w:val="3C5207B8"/>
    <w:rsid w:val="3C6D114E"/>
    <w:rsid w:val="3C8A61A4"/>
    <w:rsid w:val="3C991F43"/>
    <w:rsid w:val="3CA8662A"/>
    <w:rsid w:val="3CC50F8A"/>
    <w:rsid w:val="3CD411CD"/>
    <w:rsid w:val="3CED6DB5"/>
    <w:rsid w:val="3CFE624A"/>
    <w:rsid w:val="3D257C7B"/>
    <w:rsid w:val="3D271C45"/>
    <w:rsid w:val="3D363C36"/>
    <w:rsid w:val="3D3B749E"/>
    <w:rsid w:val="3D4A148F"/>
    <w:rsid w:val="3D4C5207"/>
    <w:rsid w:val="3D5440BC"/>
    <w:rsid w:val="3D74475E"/>
    <w:rsid w:val="3D960B78"/>
    <w:rsid w:val="3DD5344F"/>
    <w:rsid w:val="3DE713D4"/>
    <w:rsid w:val="3DEC0798"/>
    <w:rsid w:val="3DF5764D"/>
    <w:rsid w:val="3E155F41"/>
    <w:rsid w:val="3E1D4DF6"/>
    <w:rsid w:val="3E1D6BA4"/>
    <w:rsid w:val="3E295549"/>
    <w:rsid w:val="3E2D328B"/>
    <w:rsid w:val="3E3363C7"/>
    <w:rsid w:val="3E3C527C"/>
    <w:rsid w:val="3E4660FB"/>
    <w:rsid w:val="3E4E3514"/>
    <w:rsid w:val="3E551709"/>
    <w:rsid w:val="3E5C76CC"/>
    <w:rsid w:val="3E6A003B"/>
    <w:rsid w:val="3E6B3DB3"/>
    <w:rsid w:val="3E7C1B1C"/>
    <w:rsid w:val="3E854E75"/>
    <w:rsid w:val="3E860BED"/>
    <w:rsid w:val="3E8A707B"/>
    <w:rsid w:val="3E9E1A93"/>
    <w:rsid w:val="3EA66B99"/>
    <w:rsid w:val="3EB70DA6"/>
    <w:rsid w:val="3EBC460F"/>
    <w:rsid w:val="3EC040FF"/>
    <w:rsid w:val="3EC11C25"/>
    <w:rsid w:val="3EDC084B"/>
    <w:rsid w:val="3EE53B65"/>
    <w:rsid w:val="3EE651E8"/>
    <w:rsid w:val="3EED2A1A"/>
    <w:rsid w:val="3EF21DDE"/>
    <w:rsid w:val="3EF45B57"/>
    <w:rsid w:val="3EFB5137"/>
    <w:rsid w:val="3EFC4A0B"/>
    <w:rsid w:val="3F0B2EA0"/>
    <w:rsid w:val="3F255D10"/>
    <w:rsid w:val="3F283A52"/>
    <w:rsid w:val="3F312907"/>
    <w:rsid w:val="3F3B3785"/>
    <w:rsid w:val="3F3B5533"/>
    <w:rsid w:val="3F446ADE"/>
    <w:rsid w:val="3F4A39C9"/>
    <w:rsid w:val="3F5D7BA0"/>
    <w:rsid w:val="3F696545"/>
    <w:rsid w:val="3F724CCD"/>
    <w:rsid w:val="3F934527"/>
    <w:rsid w:val="3F9422E3"/>
    <w:rsid w:val="3F9966FE"/>
    <w:rsid w:val="3F9B4224"/>
    <w:rsid w:val="3F9F3D14"/>
    <w:rsid w:val="3FA56E51"/>
    <w:rsid w:val="3FA7706D"/>
    <w:rsid w:val="3FBE7F13"/>
    <w:rsid w:val="3FC714BD"/>
    <w:rsid w:val="3FDA69E1"/>
    <w:rsid w:val="3FF34060"/>
    <w:rsid w:val="3FFB4CC3"/>
    <w:rsid w:val="402661E4"/>
    <w:rsid w:val="402763DA"/>
    <w:rsid w:val="40291830"/>
    <w:rsid w:val="40307062"/>
    <w:rsid w:val="403C5A07"/>
    <w:rsid w:val="403F1053"/>
    <w:rsid w:val="40414DCB"/>
    <w:rsid w:val="4057639D"/>
    <w:rsid w:val="405E3BCF"/>
    <w:rsid w:val="40624D42"/>
    <w:rsid w:val="40646D0C"/>
    <w:rsid w:val="40664832"/>
    <w:rsid w:val="407231D7"/>
    <w:rsid w:val="40A90D35"/>
    <w:rsid w:val="40AD06B3"/>
    <w:rsid w:val="40B25CC9"/>
    <w:rsid w:val="40C477AB"/>
    <w:rsid w:val="40C81049"/>
    <w:rsid w:val="40D6429F"/>
    <w:rsid w:val="40DC4AF4"/>
    <w:rsid w:val="40E816EB"/>
    <w:rsid w:val="40E90FBF"/>
    <w:rsid w:val="40EA7211"/>
    <w:rsid w:val="40F0234E"/>
    <w:rsid w:val="40F55BB6"/>
    <w:rsid w:val="410B53D9"/>
    <w:rsid w:val="411918A4"/>
    <w:rsid w:val="411B561D"/>
    <w:rsid w:val="411C75E7"/>
    <w:rsid w:val="413B5CBF"/>
    <w:rsid w:val="415B6BDC"/>
    <w:rsid w:val="415E7BFF"/>
    <w:rsid w:val="416B7C26"/>
    <w:rsid w:val="416D399E"/>
    <w:rsid w:val="416E3583"/>
    <w:rsid w:val="417411D1"/>
    <w:rsid w:val="41764F49"/>
    <w:rsid w:val="41986C6D"/>
    <w:rsid w:val="41A41AB6"/>
    <w:rsid w:val="41B415CD"/>
    <w:rsid w:val="41D028AB"/>
    <w:rsid w:val="41D37CA5"/>
    <w:rsid w:val="41E06866"/>
    <w:rsid w:val="41E225DE"/>
    <w:rsid w:val="41E2613A"/>
    <w:rsid w:val="41EE4ADF"/>
    <w:rsid w:val="41F701D2"/>
    <w:rsid w:val="41FF6CEC"/>
    <w:rsid w:val="422F3904"/>
    <w:rsid w:val="42442951"/>
    <w:rsid w:val="425C5EED"/>
    <w:rsid w:val="42672AE3"/>
    <w:rsid w:val="42725710"/>
    <w:rsid w:val="42770F78"/>
    <w:rsid w:val="428216CB"/>
    <w:rsid w:val="428C42F8"/>
    <w:rsid w:val="42A6360C"/>
    <w:rsid w:val="42AC04F6"/>
    <w:rsid w:val="42BD1C6C"/>
    <w:rsid w:val="42C205F6"/>
    <w:rsid w:val="42C85330"/>
    <w:rsid w:val="42F02AD9"/>
    <w:rsid w:val="42F56341"/>
    <w:rsid w:val="43234C5C"/>
    <w:rsid w:val="432A5FEB"/>
    <w:rsid w:val="43421586"/>
    <w:rsid w:val="43430E5B"/>
    <w:rsid w:val="434A043B"/>
    <w:rsid w:val="435C016E"/>
    <w:rsid w:val="437E6337"/>
    <w:rsid w:val="43956342"/>
    <w:rsid w:val="439B47F3"/>
    <w:rsid w:val="43A062AD"/>
    <w:rsid w:val="43BB3439"/>
    <w:rsid w:val="43BE6733"/>
    <w:rsid w:val="43EA39CC"/>
    <w:rsid w:val="44240C8C"/>
    <w:rsid w:val="4427252A"/>
    <w:rsid w:val="442A5B77"/>
    <w:rsid w:val="4436276D"/>
    <w:rsid w:val="443864E5"/>
    <w:rsid w:val="443A225E"/>
    <w:rsid w:val="445A2900"/>
    <w:rsid w:val="4467501D"/>
    <w:rsid w:val="44784B34"/>
    <w:rsid w:val="447B4624"/>
    <w:rsid w:val="44801C3A"/>
    <w:rsid w:val="448160DE"/>
    <w:rsid w:val="44983428"/>
    <w:rsid w:val="44A1052F"/>
    <w:rsid w:val="44D51F86"/>
    <w:rsid w:val="44DF1057"/>
    <w:rsid w:val="44FD328B"/>
    <w:rsid w:val="45232CF2"/>
    <w:rsid w:val="4537679D"/>
    <w:rsid w:val="453942C3"/>
    <w:rsid w:val="45596713"/>
    <w:rsid w:val="45637592"/>
    <w:rsid w:val="456926CF"/>
    <w:rsid w:val="456C2437"/>
    <w:rsid w:val="45703A5D"/>
    <w:rsid w:val="457572C5"/>
    <w:rsid w:val="457E43CC"/>
    <w:rsid w:val="4585575A"/>
    <w:rsid w:val="45997458"/>
    <w:rsid w:val="45A100BA"/>
    <w:rsid w:val="45B85B30"/>
    <w:rsid w:val="45B95404"/>
    <w:rsid w:val="45C0619F"/>
    <w:rsid w:val="45C1250B"/>
    <w:rsid w:val="45D466E2"/>
    <w:rsid w:val="45F823D0"/>
    <w:rsid w:val="45FD79E7"/>
    <w:rsid w:val="46054AED"/>
    <w:rsid w:val="4613720A"/>
    <w:rsid w:val="461716DC"/>
    <w:rsid w:val="462211FB"/>
    <w:rsid w:val="462F1C33"/>
    <w:rsid w:val="463E485E"/>
    <w:rsid w:val="46647A66"/>
    <w:rsid w:val="46674E60"/>
    <w:rsid w:val="466A4950"/>
    <w:rsid w:val="4670640B"/>
    <w:rsid w:val="468123C6"/>
    <w:rsid w:val="469814BD"/>
    <w:rsid w:val="46A00372"/>
    <w:rsid w:val="46CD560B"/>
    <w:rsid w:val="46D1677D"/>
    <w:rsid w:val="46D52711"/>
    <w:rsid w:val="46D70238"/>
    <w:rsid w:val="46DA1AD6"/>
    <w:rsid w:val="46E22739"/>
    <w:rsid w:val="46F26516"/>
    <w:rsid w:val="46F4698D"/>
    <w:rsid w:val="46F801AE"/>
    <w:rsid w:val="46FF153C"/>
    <w:rsid w:val="47370CD6"/>
    <w:rsid w:val="473F071A"/>
    <w:rsid w:val="473F7B8B"/>
    <w:rsid w:val="475278BE"/>
    <w:rsid w:val="475353E4"/>
    <w:rsid w:val="476870E2"/>
    <w:rsid w:val="47705F96"/>
    <w:rsid w:val="478A7058"/>
    <w:rsid w:val="47925F0D"/>
    <w:rsid w:val="47946129"/>
    <w:rsid w:val="47A619B8"/>
    <w:rsid w:val="47AD0F98"/>
    <w:rsid w:val="47AD2D46"/>
    <w:rsid w:val="47BB36B5"/>
    <w:rsid w:val="47CD5197"/>
    <w:rsid w:val="47F170D7"/>
    <w:rsid w:val="47FC782A"/>
    <w:rsid w:val="480768FB"/>
    <w:rsid w:val="48117779"/>
    <w:rsid w:val="48166B3E"/>
    <w:rsid w:val="482A4397"/>
    <w:rsid w:val="482C010F"/>
    <w:rsid w:val="483D056E"/>
    <w:rsid w:val="484418FD"/>
    <w:rsid w:val="484F3DFE"/>
    <w:rsid w:val="48671147"/>
    <w:rsid w:val="489F2FD7"/>
    <w:rsid w:val="48BF5427"/>
    <w:rsid w:val="48E22EC4"/>
    <w:rsid w:val="48E629B4"/>
    <w:rsid w:val="49137521"/>
    <w:rsid w:val="49221512"/>
    <w:rsid w:val="494E2307"/>
    <w:rsid w:val="49535B70"/>
    <w:rsid w:val="496D09DF"/>
    <w:rsid w:val="49706721"/>
    <w:rsid w:val="499046CE"/>
    <w:rsid w:val="49942410"/>
    <w:rsid w:val="49AA1C33"/>
    <w:rsid w:val="49AD5280"/>
    <w:rsid w:val="49B216EB"/>
    <w:rsid w:val="49BC54C3"/>
    <w:rsid w:val="49C10D2B"/>
    <w:rsid w:val="49C32A1F"/>
    <w:rsid w:val="49D2118A"/>
    <w:rsid w:val="49EA0282"/>
    <w:rsid w:val="4A0C54AD"/>
    <w:rsid w:val="4A280DAA"/>
    <w:rsid w:val="4A2A2D74"/>
    <w:rsid w:val="4A2B43F6"/>
    <w:rsid w:val="4A317C5F"/>
    <w:rsid w:val="4A374EDC"/>
    <w:rsid w:val="4A525E27"/>
    <w:rsid w:val="4A606796"/>
    <w:rsid w:val="4A62250E"/>
    <w:rsid w:val="4A742241"/>
    <w:rsid w:val="4A91694F"/>
    <w:rsid w:val="4A9B157C"/>
    <w:rsid w:val="4AA77F21"/>
    <w:rsid w:val="4AAA17BF"/>
    <w:rsid w:val="4AB16FF2"/>
    <w:rsid w:val="4AB97C54"/>
    <w:rsid w:val="4ABB577A"/>
    <w:rsid w:val="4ACA3C0F"/>
    <w:rsid w:val="4ACE54AE"/>
    <w:rsid w:val="4ADF590D"/>
    <w:rsid w:val="4AF44E02"/>
    <w:rsid w:val="4AFA62A3"/>
    <w:rsid w:val="4AFF5FAF"/>
    <w:rsid w:val="4B02784D"/>
    <w:rsid w:val="4B047121"/>
    <w:rsid w:val="4B0735C9"/>
    <w:rsid w:val="4B3425E6"/>
    <w:rsid w:val="4B35377F"/>
    <w:rsid w:val="4B475260"/>
    <w:rsid w:val="4B490FD8"/>
    <w:rsid w:val="4B5736F5"/>
    <w:rsid w:val="4B595344"/>
    <w:rsid w:val="4B5C6F5D"/>
    <w:rsid w:val="4B5F6A4E"/>
    <w:rsid w:val="4B644064"/>
    <w:rsid w:val="4B661B8A"/>
    <w:rsid w:val="4B6978CC"/>
    <w:rsid w:val="4B7047B7"/>
    <w:rsid w:val="4B751DCD"/>
    <w:rsid w:val="4B8D7117"/>
    <w:rsid w:val="4BA206E8"/>
    <w:rsid w:val="4BA601D9"/>
    <w:rsid w:val="4BB51514"/>
    <w:rsid w:val="4BCD1C09"/>
    <w:rsid w:val="4BE64A79"/>
    <w:rsid w:val="4C03387D"/>
    <w:rsid w:val="4C0849EF"/>
    <w:rsid w:val="4C0B2731"/>
    <w:rsid w:val="4C0D64AA"/>
    <w:rsid w:val="4C2D4456"/>
    <w:rsid w:val="4C324162"/>
    <w:rsid w:val="4C577725"/>
    <w:rsid w:val="4C5E0AB3"/>
    <w:rsid w:val="4C72630D"/>
    <w:rsid w:val="4C7622A1"/>
    <w:rsid w:val="4C9B5863"/>
    <w:rsid w:val="4CA26BF2"/>
    <w:rsid w:val="4CBF59F6"/>
    <w:rsid w:val="4CCA439B"/>
    <w:rsid w:val="4CD82614"/>
    <w:rsid w:val="4CE0771A"/>
    <w:rsid w:val="4CE4720A"/>
    <w:rsid w:val="4CE47AF5"/>
    <w:rsid w:val="4D096C71"/>
    <w:rsid w:val="4D0B0C3B"/>
    <w:rsid w:val="4D1A70D0"/>
    <w:rsid w:val="4D1B3ED6"/>
    <w:rsid w:val="4D333CEE"/>
    <w:rsid w:val="4D3A507C"/>
    <w:rsid w:val="4D422183"/>
    <w:rsid w:val="4D447CA9"/>
    <w:rsid w:val="4D4952BF"/>
    <w:rsid w:val="4D4E0B28"/>
    <w:rsid w:val="4D63453F"/>
    <w:rsid w:val="4D6420F9"/>
    <w:rsid w:val="4D6D5452"/>
    <w:rsid w:val="4D6F6081"/>
    <w:rsid w:val="4D775FCB"/>
    <w:rsid w:val="4D901140"/>
    <w:rsid w:val="4D970721"/>
    <w:rsid w:val="4D9C1893"/>
    <w:rsid w:val="4DA22C22"/>
    <w:rsid w:val="4DA93FB0"/>
    <w:rsid w:val="4DAB7D28"/>
    <w:rsid w:val="4DB0533F"/>
    <w:rsid w:val="4DB55C61"/>
    <w:rsid w:val="4DBF37D4"/>
    <w:rsid w:val="4DC20265"/>
    <w:rsid w:val="4DC64B62"/>
    <w:rsid w:val="4DC80415"/>
    <w:rsid w:val="4DD92AE7"/>
    <w:rsid w:val="4DEA4CF4"/>
    <w:rsid w:val="4DF53699"/>
    <w:rsid w:val="4E041D43"/>
    <w:rsid w:val="4E121B55"/>
    <w:rsid w:val="4E17716C"/>
    <w:rsid w:val="4E192EE4"/>
    <w:rsid w:val="4E1C29D4"/>
    <w:rsid w:val="4E296E9F"/>
    <w:rsid w:val="4E2D4BE1"/>
    <w:rsid w:val="4E323FA5"/>
    <w:rsid w:val="4E361DB0"/>
    <w:rsid w:val="4E486D8B"/>
    <w:rsid w:val="4E5E123E"/>
    <w:rsid w:val="4E6525CD"/>
    <w:rsid w:val="4E6F51FA"/>
    <w:rsid w:val="4E91189D"/>
    <w:rsid w:val="4E9E5ADF"/>
    <w:rsid w:val="4EA11ADF"/>
    <w:rsid w:val="4EA66BA2"/>
    <w:rsid w:val="4EB62E28"/>
    <w:rsid w:val="4EC512BE"/>
    <w:rsid w:val="4ED80FF1"/>
    <w:rsid w:val="4ED84B13"/>
    <w:rsid w:val="4EE47996"/>
    <w:rsid w:val="4EE80B08"/>
    <w:rsid w:val="4EEF1E97"/>
    <w:rsid w:val="4EF456FF"/>
    <w:rsid w:val="4F1D4C56"/>
    <w:rsid w:val="4F271630"/>
    <w:rsid w:val="4F381A8F"/>
    <w:rsid w:val="4F55619D"/>
    <w:rsid w:val="4F58095E"/>
    <w:rsid w:val="4F5B752C"/>
    <w:rsid w:val="4F7B372A"/>
    <w:rsid w:val="4FDF63AF"/>
    <w:rsid w:val="4FE13ED5"/>
    <w:rsid w:val="4FE85264"/>
    <w:rsid w:val="4FE90FDC"/>
    <w:rsid w:val="502B6EFE"/>
    <w:rsid w:val="505B3C87"/>
    <w:rsid w:val="50666188"/>
    <w:rsid w:val="506B379F"/>
    <w:rsid w:val="506B7C43"/>
    <w:rsid w:val="50940F47"/>
    <w:rsid w:val="50AA42C7"/>
    <w:rsid w:val="50C03AEB"/>
    <w:rsid w:val="50D21A70"/>
    <w:rsid w:val="50D650BC"/>
    <w:rsid w:val="50DD6E02"/>
    <w:rsid w:val="50ED2406"/>
    <w:rsid w:val="51112598"/>
    <w:rsid w:val="51147CA8"/>
    <w:rsid w:val="51273B6A"/>
    <w:rsid w:val="512A365A"/>
    <w:rsid w:val="512F2A1E"/>
    <w:rsid w:val="51491D32"/>
    <w:rsid w:val="514E10F6"/>
    <w:rsid w:val="51542485"/>
    <w:rsid w:val="515B1A65"/>
    <w:rsid w:val="51644DBE"/>
    <w:rsid w:val="517A013D"/>
    <w:rsid w:val="517B2107"/>
    <w:rsid w:val="51857BC4"/>
    <w:rsid w:val="51A46F68"/>
    <w:rsid w:val="51BD44CE"/>
    <w:rsid w:val="51C94C21"/>
    <w:rsid w:val="51FD2B1C"/>
    <w:rsid w:val="5208399B"/>
    <w:rsid w:val="52151C14"/>
    <w:rsid w:val="521A547C"/>
    <w:rsid w:val="521D0CD3"/>
    <w:rsid w:val="52285DEB"/>
    <w:rsid w:val="52306A4E"/>
    <w:rsid w:val="523C1897"/>
    <w:rsid w:val="52426781"/>
    <w:rsid w:val="52500E9E"/>
    <w:rsid w:val="525065D8"/>
    <w:rsid w:val="525A7F6F"/>
    <w:rsid w:val="526112FD"/>
    <w:rsid w:val="52691F60"/>
    <w:rsid w:val="526A08A9"/>
    <w:rsid w:val="526D1A50"/>
    <w:rsid w:val="526D7CA2"/>
    <w:rsid w:val="52756B57"/>
    <w:rsid w:val="527821A3"/>
    <w:rsid w:val="528B1ED6"/>
    <w:rsid w:val="529214B7"/>
    <w:rsid w:val="52946FDD"/>
    <w:rsid w:val="529C0587"/>
    <w:rsid w:val="52AF3E17"/>
    <w:rsid w:val="52B72CCB"/>
    <w:rsid w:val="52C61160"/>
    <w:rsid w:val="52EA30A1"/>
    <w:rsid w:val="52EF06B7"/>
    <w:rsid w:val="52FE08FA"/>
    <w:rsid w:val="531445C2"/>
    <w:rsid w:val="53204D14"/>
    <w:rsid w:val="532C39DF"/>
    <w:rsid w:val="532C5467"/>
    <w:rsid w:val="533267F6"/>
    <w:rsid w:val="5334256E"/>
    <w:rsid w:val="535844AE"/>
    <w:rsid w:val="535B5D4C"/>
    <w:rsid w:val="537B1F4B"/>
    <w:rsid w:val="53A72D40"/>
    <w:rsid w:val="53A92F5C"/>
    <w:rsid w:val="53B35B89"/>
    <w:rsid w:val="53BB67EB"/>
    <w:rsid w:val="53C27B7A"/>
    <w:rsid w:val="53C5766A"/>
    <w:rsid w:val="53FD6E04"/>
    <w:rsid w:val="5406153F"/>
    <w:rsid w:val="54372316"/>
    <w:rsid w:val="544113E6"/>
    <w:rsid w:val="544D1B39"/>
    <w:rsid w:val="5454111A"/>
    <w:rsid w:val="54576514"/>
    <w:rsid w:val="546B0211"/>
    <w:rsid w:val="547B1A46"/>
    <w:rsid w:val="549A0AF6"/>
    <w:rsid w:val="54CF07A0"/>
    <w:rsid w:val="54D20290"/>
    <w:rsid w:val="54DA0EF3"/>
    <w:rsid w:val="54DE6C35"/>
    <w:rsid w:val="54F324F8"/>
    <w:rsid w:val="54F40207"/>
    <w:rsid w:val="55164621"/>
    <w:rsid w:val="55287EB0"/>
    <w:rsid w:val="552A59D6"/>
    <w:rsid w:val="552D196B"/>
    <w:rsid w:val="55393E6B"/>
    <w:rsid w:val="553A5246"/>
    <w:rsid w:val="55515659"/>
    <w:rsid w:val="55546EF7"/>
    <w:rsid w:val="555E1B24"/>
    <w:rsid w:val="55684751"/>
    <w:rsid w:val="556A04C9"/>
    <w:rsid w:val="55760C1C"/>
    <w:rsid w:val="5588094F"/>
    <w:rsid w:val="559C17CB"/>
    <w:rsid w:val="55CB540B"/>
    <w:rsid w:val="55D50038"/>
    <w:rsid w:val="55E37D11"/>
    <w:rsid w:val="55F935FB"/>
    <w:rsid w:val="56150435"/>
    <w:rsid w:val="56222B52"/>
    <w:rsid w:val="56332FB1"/>
    <w:rsid w:val="564451BE"/>
    <w:rsid w:val="566969D2"/>
    <w:rsid w:val="56815ACA"/>
    <w:rsid w:val="568D0913"/>
    <w:rsid w:val="56955A19"/>
    <w:rsid w:val="56B934B6"/>
    <w:rsid w:val="56EA18C1"/>
    <w:rsid w:val="56F049FE"/>
    <w:rsid w:val="56F444EE"/>
    <w:rsid w:val="5714693E"/>
    <w:rsid w:val="571526B6"/>
    <w:rsid w:val="571E77BD"/>
    <w:rsid w:val="57284198"/>
    <w:rsid w:val="57392849"/>
    <w:rsid w:val="57405985"/>
    <w:rsid w:val="57743881"/>
    <w:rsid w:val="57783371"/>
    <w:rsid w:val="5781368F"/>
    <w:rsid w:val="578F06BB"/>
    <w:rsid w:val="57961A49"/>
    <w:rsid w:val="579B2BBB"/>
    <w:rsid w:val="57A001D2"/>
    <w:rsid w:val="57C93BCD"/>
    <w:rsid w:val="57D367F9"/>
    <w:rsid w:val="57E427B4"/>
    <w:rsid w:val="57E502DB"/>
    <w:rsid w:val="57F549C2"/>
    <w:rsid w:val="580E15DF"/>
    <w:rsid w:val="581A4428"/>
    <w:rsid w:val="583D1EC5"/>
    <w:rsid w:val="58515970"/>
    <w:rsid w:val="58575BCF"/>
    <w:rsid w:val="58580AAD"/>
    <w:rsid w:val="58733B38"/>
    <w:rsid w:val="587578B0"/>
    <w:rsid w:val="58801DB1"/>
    <w:rsid w:val="588B2C30"/>
    <w:rsid w:val="589C6BEB"/>
    <w:rsid w:val="58AB32D2"/>
    <w:rsid w:val="58AC04D8"/>
    <w:rsid w:val="58AF2A1A"/>
    <w:rsid w:val="58AF6F75"/>
    <w:rsid w:val="58C16652"/>
    <w:rsid w:val="58C6010C"/>
    <w:rsid w:val="58EF7663"/>
    <w:rsid w:val="58F702C5"/>
    <w:rsid w:val="58F72073"/>
    <w:rsid w:val="5915699E"/>
    <w:rsid w:val="591744C4"/>
    <w:rsid w:val="591A2206"/>
    <w:rsid w:val="591F15CA"/>
    <w:rsid w:val="59227859"/>
    <w:rsid w:val="593C217C"/>
    <w:rsid w:val="59464DA9"/>
    <w:rsid w:val="59605E6B"/>
    <w:rsid w:val="59613991"/>
    <w:rsid w:val="59653481"/>
    <w:rsid w:val="59875AED"/>
    <w:rsid w:val="5991071A"/>
    <w:rsid w:val="59A321FB"/>
    <w:rsid w:val="59AA358A"/>
    <w:rsid w:val="59B30690"/>
    <w:rsid w:val="59B44408"/>
    <w:rsid w:val="59C04B5B"/>
    <w:rsid w:val="59CF2FF0"/>
    <w:rsid w:val="59D64DC3"/>
    <w:rsid w:val="59E7033A"/>
    <w:rsid w:val="59EC3BA2"/>
    <w:rsid w:val="59F34F31"/>
    <w:rsid w:val="59F64A21"/>
    <w:rsid w:val="5A1D1FAE"/>
    <w:rsid w:val="5A290952"/>
    <w:rsid w:val="5A2A0227"/>
    <w:rsid w:val="5A2C3F9F"/>
    <w:rsid w:val="5A403EEE"/>
    <w:rsid w:val="5A407A4A"/>
    <w:rsid w:val="5A5534F6"/>
    <w:rsid w:val="5A7122F9"/>
    <w:rsid w:val="5A721EAC"/>
    <w:rsid w:val="5A867B53"/>
    <w:rsid w:val="5AAE70AA"/>
    <w:rsid w:val="5AB81CD6"/>
    <w:rsid w:val="5AD05272"/>
    <w:rsid w:val="5ADE798F"/>
    <w:rsid w:val="5AEB20AC"/>
    <w:rsid w:val="5AEE56F8"/>
    <w:rsid w:val="5AF50835"/>
    <w:rsid w:val="5AFA409D"/>
    <w:rsid w:val="5AFE1DDF"/>
    <w:rsid w:val="5AFF7905"/>
    <w:rsid w:val="5B0311A3"/>
    <w:rsid w:val="5B0647F0"/>
    <w:rsid w:val="5B152C85"/>
    <w:rsid w:val="5B21162A"/>
    <w:rsid w:val="5B2353A2"/>
    <w:rsid w:val="5B4F43E9"/>
    <w:rsid w:val="5B523ED9"/>
    <w:rsid w:val="5B7164C5"/>
    <w:rsid w:val="5B7E082A"/>
    <w:rsid w:val="5B8147BE"/>
    <w:rsid w:val="5B8604E4"/>
    <w:rsid w:val="5B920779"/>
    <w:rsid w:val="5BA364E3"/>
    <w:rsid w:val="5BA54009"/>
    <w:rsid w:val="5BAB5397"/>
    <w:rsid w:val="5BAD7361"/>
    <w:rsid w:val="5BBA55DA"/>
    <w:rsid w:val="5BBE50CA"/>
    <w:rsid w:val="5BC14BBB"/>
    <w:rsid w:val="5BC326E1"/>
    <w:rsid w:val="5BC56459"/>
    <w:rsid w:val="5BE01CD3"/>
    <w:rsid w:val="5BE2525D"/>
    <w:rsid w:val="5BEF34D6"/>
    <w:rsid w:val="5C052271"/>
    <w:rsid w:val="5C104215"/>
    <w:rsid w:val="5C34538D"/>
    <w:rsid w:val="5C401F83"/>
    <w:rsid w:val="5C4C0928"/>
    <w:rsid w:val="5C4C6B7A"/>
    <w:rsid w:val="5C5617A7"/>
    <w:rsid w:val="5C58107B"/>
    <w:rsid w:val="5CA00C74"/>
    <w:rsid w:val="5CA93FCD"/>
    <w:rsid w:val="5CB40A35"/>
    <w:rsid w:val="5CBD5382"/>
    <w:rsid w:val="5CC44962"/>
    <w:rsid w:val="5CC52489"/>
    <w:rsid w:val="5CC74453"/>
    <w:rsid w:val="5CEC5C67"/>
    <w:rsid w:val="5CF039A9"/>
    <w:rsid w:val="5D0134C1"/>
    <w:rsid w:val="5D1F428F"/>
    <w:rsid w:val="5D290C69"/>
    <w:rsid w:val="5D373386"/>
    <w:rsid w:val="5D4D6706"/>
    <w:rsid w:val="5D504448"/>
    <w:rsid w:val="5D616655"/>
    <w:rsid w:val="5D683540"/>
    <w:rsid w:val="5D6B74D4"/>
    <w:rsid w:val="5D72616D"/>
    <w:rsid w:val="5D7A7717"/>
    <w:rsid w:val="5D8365CC"/>
    <w:rsid w:val="5D8F750B"/>
    <w:rsid w:val="5D9702C9"/>
    <w:rsid w:val="5DB20C5F"/>
    <w:rsid w:val="5DB9083D"/>
    <w:rsid w:val="5DD010E5"/>
    <w:rsid w:val="5DD961EC"/>
    <w:rsid w:val="5DE54B90"/>
    <w:rsid w:val="5E2002BE"/>
    <w:rsid w:val="5E31427A"/>
    <w:rsid w:val="5E39152D"/>
    <w:rsid w:val="5E394EDC"/>
    <w:rsid w:val="5E431827"/>
    <w:rsid w:val="5E483371"/>
    <w:rsid w:val="5E4F5D8C"/>
    <w:rsid w:val="5E581806"/>
    <w:rsid w:val="5E5A37D0"/>
    <w:rsid w:val="5E93589B"/>
    <w:rsid w:val="5E9E44D5"/>
    <w:rsid w:val="5EA20CD3"/>
    <w:rsid w:val="5EB21D38"/>
    <w:rsid w:val="5EB6652D"/>
    <w:rsid w:val="5EE57234"/>
    <w:rsid w:val="5EE94B54"/>
    <w:rsid w:val="5EEE5CC7"/>
    <w:rsid w:val="5EF157B7"/>
    <w:rsid w:val="5EFA28BD"/>
    <w:rsid w:val="5EFF6126"/>
    <w:rsid w:val="5F265461"/>
    <w:rsid w:val="5F27742B"/>
    <w:rsid w:val="5F3F4774"/>
    <w:rsid w:val="5F487ACD"/>
    <w:rsid w:val="5F4B4EC7"/>
    <w:rsid w:val="5F5024DD"/>
    <w:rsid w:val="5F6D308F"/>
    <w:rsid w:val="5F77717F"/>
    <w:rsid w:val="5F7F2DC3"/>
    <w:rsid w:val="5F881C77"/>
    <w:rsid w:val="5FBC0493"/>
    <w:rsid w:val="5FBC5DC5"/>
    <w:rsid w:val="5FC30F01"/>
    <w:rsid w:val="5FC66C44"/>
    <w:rsid w:val="5FC93D7A"/>
    <w:rsid w:val="5FD04925"/>
    <w:rsid w:val="5FD924D3"/>
    <w:rsid w:val="5FDC6467"/>
    <w:rsid w:val="5FF92B75"/>
    <w:rsid w:val="5FFC08B7"/>
    <w:rsid w:val="602D0A71"/>
    <w:rsid w:val="602F2A3B"/>
    <w:rsid w:val="605204D7"/>
    <w:rsid w:val="60583D40"/>
    <w:rsid w:val="605E6E7C"/>
    <w:rsid w:val="60681AA9"/>
    <w:rsid w:val="6089214B"/>
    <w:rsid w:val="60912DAE"/>
    <w:rsid w:val="609E54CA"/>
    <w:rsid w:val="60A54AAB"/>
    <w:rsid w:val="60A70823"/>
    <w:rsid w:val="60B155C3"/>
    <w:rsid w:val="60B46A9C"/>
    <w:rsid w:val="60C767CF"/>
    <w:rsid w:val="60DB04CD"/>
    <w:rsid w:val="60E37983"/>
    <w:rsid w:val="60F668B1"/>
    <w:rsid w:val="60FF065F"/>
    <w:rsid w:val="60FF4339"/>
    <w:rsid w:val="61092146"/>
    <w:rsid w:val="610C4B2A"/>
    <w:rsid w:val="61124671"/>
    <w:rsid w:val="61131A15"/>
    <w:rsid w:val="61167757"/>
    <w:rsid w:val="611D2893"/>
    <w:rsid w:val="61251748"/>
    <w:rsid w:val="612C2AD6"/>
    <w:rsid w:val="61355E2F"/>
    <w:rsid w:val="613F280A"/>
    <w:rsid w:val="61413CA6"/>
    <w:rsid w:val="615269E1"/>
    <w:rsid w:val="61534507"/>
    <w:rsid w:val="61565DA5"/>
    <w:rsid w:val="615A7643"/>
    <w:rsid w:val="615E35D8"/>
    <w:rsid w:val="6171498D"/>
    <w:rsid w:val="61860438"/>
    <w:rsid w:val="61882403"/>
    <w:rsid w:val="61972646"/>
    <w:rsid w:val="61994561"/>
    <w:rsid w:val="61B9080E"/>
    <w:rsid w:val="61C471B3"/>
    <w:rsid w:val="61C6614F"/>
    <w:rsid w:val="61C96577"/>
    <w:rsid w:val="61CA2A1B"/>
    <w:rsid w:val="61D07906"/>
    <w:rsid w:val="61D54F1C"/>
    <w:rsid w:val="61DC274E"/>
    <w:rsid w:val="61DC6F58"/>
    <w:rsid w:val="61E41603"/>
    <w:rsid w:val="61E433B1"/>
    <w:rsid w:val="61F74CB9"/>
    <w:rsid w:val="62161F3E"/>
    <w:rsid w:val="621C2B4B"/>
    <w:rsid w:val="62265778"/>
    <w:rsid w:val="622F0425"/>
    <w:rsid w:val="623065F6"/>
    <w:rsid w:val="623C31ED"/>
    <w:rsid w:val="625E7607"/>
    <w:rsid w:val="62685D90"/>
    <w:rsid w:val="62744735"/>
    <w:rsid w:val="62774225"/>
    <w:rsid w:val="62791D4B"/>
    <w:rsid w:val="62894684"/>
    <w:rsid w:val="62913539"/>
    <w:rsid w:val="62D41677"/>
    <w:rsid w:val="62DD22DA"/>
    <w:rsid w:val="62E55633"/>
    <w:rsid w:val="62E95123"/>
    <w:rsid w:val="62EE098B"/>
    <w:rsid w:val="62F53AC8"/>
    <w:rsid w:val="62FD472A"/>
    <w:rsid w:val="63035AB9"/>
    <w:rsid w:val="630C7063"/>
    <w:rsid w:val="63260125"/>
    <w:rsid w:val="63267BA3"/>
    <w:rsid w:val="634E31D8"/>
    <w:rsid w:val="63604CB9"/>
    <w:rsid w:val="636B1FDC"/>
    <w:rsid w:val="63732C3E"/>
    <w:rsid w:val="637349EC"/>
    <w:rsid w:val="637D216D"/>
    <w:rsid w:val="63860BC4"/>
    <w:rsid w:val="63870498"/>
    <w:rsid w:val="63B214F0"/>
    <w:rsid w:val="63B3128D"/>
    <w:rsid w:val="63BA086D"/>
    <w:rsid w:val="63C11BFC"/>
    <w:rsid w:val="63F41FD1"/>
    <w:rsid w:val="63F90187"/>
    <w:rsid w:val="640B10C9"/>
    <w:rsid w:val="641C6E32"/>
    <w:rsid w:val="641F4B74"/>
    <w:rsid w:val="644B5969"/>
    <w:rsid w:val="64535682"/>
    <w:rsid w:val="64616F3B"/>
    <w:rsid w:val="646802C9"/>
    <w:rsid w:val="646C600B"/>
    <w:rsid w:val="64740A1C"/>
    <w:rsid w:val="64966BE4"/>
    <w:rsid w:val="649B41FB"/>
    <w:rsid w:val="64AF414A"/>
    <w:rsid w:val="64C51278"/>
    <w:rsid w:val="64CF0348"/>
    <w:rsid w:val="64DB5F60"/>
    <w:rsid w:val="64FD6C64"/>
    <w:rsid w:val="6502071E"/>
    <w:rsid w:val="650A1380"/>
    <w:rsid w:val="652341F0"/>
    <w:rsid w:val="65240694"/>
    <w:rsid w:val="65257F68"/>
    <w:rsid w:val="652E1513"/>
    <w:rsid w:val="65312DB1"/>
    <w:rsid w:val="654C7BEB"/>
    <w:rsid w:val="6554084E"/>
    <w:rsid w:val="6558033E"/>
    <w:rsid w:val="655A5E64"/>
    <w:rsid w:val="657D5FF6"/>
    <w:rsid w:val="65A43583"/>
    <w:rsid w:val="65B17A4E"/>
    <w:rsid w:val="65B65064"/>
    <w:rsid w:val="65BA6903"/>
    <w:rsid w:val="65D976D1"/>
    <w:rsid w:val="65E6594A"/>
    <w:rsid w:val="65E816C2"/>
    <w:rsid w:val="65EE47FE"/>
    <w:rsid w:val="66072855"/>
    <w:rsid w:val="66083B12"/>
    <w:rsid w:val="661029C7"/>
    <w:rsid w:val="662F1D0C"/>
    <w:rsid w:val="66326DE1"/>
    <w:rsid w:val="663C1A0D"/>
    <w:rsid w:val="663F505A"/>
    <w:rsid w:val="664663E8"/>
    <w:rsid w:val="664A237C"/>
    <w:rsid w:val="665705F5"/>
    <w:rsid w:val="66630D48"/>
    <w:rsid w:val="666B40A1"/>
    <w:rsid w:val="668C4743"/>
    <w:rsid w:val="6692162D"/>
    <w:rsid w:val="6695111E"/>
    <w:rsid w:val="66A03D4A"/>
    <w:rsid w:val="66A8411A"/>
    <w:rsid w:val="66AC6B93"/>
    <w:rsid w:val="66B07D06"/>
    <w:rsid w:val="66B21CD0"/>
    <w:rsid w:val="66B45A48"/>
    <w:rsid w:val="66C51A03"/>
    <w:rsid w:val="66DB2FD4"/>
    <w:rsid w:val="66EF6A80"/>
    <w:rsid w:val="66F61BBC"/>
    <w:rsid w:val="66F916AD"/>
    <w:rsid w:val="67193AFD"/>
    <w:rsid w:val="67256946"/>
    <w:rsid w:val="672901E4"/>
    <w:rsid w:val="67430B7A"/>
    <w:rsid w:val="67463BD6"/>
    <w:rsid w:val="67472418"/>
    <w:rsid w:val="67544B35"/>
    <w:rsid w:val="675B2367"/>
    <w:rsid w:val="67654F94"/>
    <w:rsid w:val="67696832"/>
    <w:rsid w:val="67705E13"/>
    <w:rsid w:val="677156E7"/>
    <w:rsid w:val="67746F85"/>
    <w:rsid w:val="67896ED4"/>
    <w:rsid w:val="67955879"/>
    <w:rsid w:val="67A64876"/>
    <w:rsid w:val="67A71109"/>
    <w:rsid w:val="67B0620F"/>
    <w:rsid w:val="67BC2E06"/>
    <w:rsid w:val="67D43D2A"/>
    <w:rsid w:val="67E4235D"/>
    <w:rsid w:val="67EC2FBF"/>
    <w:rsid w:val="67F00D02"/>
    <w:rsid w:val="6817003C"/>
    <w:rsid w:val="6828049B"/>
    <w:rsid w:val="682B7F8C"/>
    <w:rsid w:val="683A3D2B"/>
    <w:rsid w:val="68420E31"/>
    <w:rsid w:val="684D7F02"/>
    <w:rsid w:val="68594AF9"/>
    <w:rsid w:val="6865349E"/>
    <w:rsid w:val="68692862"/>
    <w:rsid w:val="68725BBA"/>
    <w:rsid w:val="688558EE"/>
    <w:rsid w:val="68996CA3"/>
    <w:rsid w:val="689C2C37"/>
    <w:rsid w:val="68AB69D7"/>
    <w:rsid w:val="68B41D2F"/>
    <w:rsid w:val="68C161FA"/>
    <w:rsid w:val="68CF0917"/>
    <w:rsid w:val="68D128E1"/>
    <w:rsid w:val="68D50259"/>
    <w:rsid w:val="68EF720B"/>
    <w:rsid w:val="690507DD"/>
    <w:rsid w:val="69205616"/>
    <w:rsid w:val="69272501"/>
    <w:rsid w:val="693E784B"/>
    <w:rsid w:val="694D1036"/>
    <w:rsid w:val="69561038"/>
    <w:rsid w:val="69583A9D"/>
    <w:rsid w:val="696279DD"/>
    <w:rsid w:val="696C085C"/>
    <w:rsid w:val="696F20FA"/>
    <w:rsid w:val="697B284D"/>
    <w:rsid w:val="69831701"/>
    <w:rsid w:val="69861FB4"/>
    <w:rsid w:val="69915C80"/>
    <w:rsid w:val="69937B96"/>
    <w:rsid w:val="69961435"/>
    <w:rsid w:val="69A51678"/>
    <w:rsid w:val="69F30635"/>
    <w:rsid w:val="69F34AD9"/>
    <w:rsid w:val="69FA7C16"/>
    <w:rsid w:val="69FC1BE0"/>
    <w:rsid w:val="6A2151A2"/>
    <w:rsid w:val="6A222CC8"/>
    <w:rsid w:val="6A2E3D63"/>
    <w:rsid w:val="6A31115D"/>
    <w:rsid w:val="6A3203B9"/>
    <w:rsid w:val="6A417448"/>
    <w:rsid w:val="6A5A06B4"/>
    <w:rsid w:val="6A641533"/>
    <w:rsid w:val="6A6B28C1"/>
    <w:rsid w:val="6A6D03E7"/>
    <w:rsid w:val="6A6E4160"/>
    <w:rsid w:val="6A7C062B"/>
    <w:rsid w:val="6A885221"/>
    <w:rsid w:val="6A941E18"/>
    <w:rsid w:val="6A993D3A"/>
    <w:rsid w:val="6A9C0CCD"/>
    <w:rsid w:val="6AB06526"/>
    <w:rsid w:val="6ABC4ECB"/>
    <w:rsid w:val="6AC0773B"/>
    <w:rsid w:val="6AC36259"/>
    <w:rsid w:val="6ACB3360"/>
    <w:rsid w:val="6ACF2E50"/>
    <w:rsid w:val="6AD06BC8"/>
    <w:rsid w:val="6AEF34F2"/>
    <w:rsid w:val="6B144D07"/>
    <w:rsid w:val="6B1E16E2"/>
    <w:rsid w:val="6B3E7FD6"/>
    <w:rsid w:val="6B4C26F3"/>
    <w:rsid w:val="6B543355"/>
    <w:rsid w:val="6B570FE1"/>
    <w:rsid w:val="6B686E01"/>
    <w:rsid w:val="6B6932A5"/>
    <w:rsid w:val="6B6F17F0"/>
    <w:rsid w:val="6B8F0831"/>
    <w:rsid w:val="6B90289A"/>
    <w:rsid w:val="6B9B358D"/>
    <w:rsid w:val="6BAC13E3"/>
    <w:rsid w:val="6BB43DF4"/>
    <w:rsid w:val="6BBA3B00"/>
    <w:rsid w:val="6BCF6E80"/>
    <w:rsid w:val="6BE446D9"/>
    <w:rsid w:val="6BEF307E"/>
    <w:rsid w:val="6BFD1C3F"/>
    <w:rsid w:val="6C0905E4"/>
    <w:rsid w:val="6C0F54CE"/>
    <w:rsid w:val="6C1F3963"/>
    <w:rsid w:val="6C250B4A"/>
    <w:rsid w:val="6C296590"/>
    <w:rsid w:val="6C2C7E2E"/>
    <w:rsid w:val="6C354F35"/>
    <w:rsid w:val="6C3D203B"/>
    <w:rsid w:val="6C427652"/>
    <w:rsid w:val="6C506213"/>
    <w:rsid w:val="6C580C23"/>
    <w:rsid w:val="6C5A499B"/>
    <w:rsid w:val="6C5F0204"/>
    <w:rsid w:val="6C692E30"/>
    <w:rsid w:val="6C8E6D3B"/>
    <w:rsid w:val="6CA67BE1"/>
    <w:rsid w:val="6CE801F9"/>
    <w:rsid w:val="6CF05300"/>
    <w:rsid w:val="6D172DCB"/>
    <w:rsid w:val="6D323B6A"/>
    <w:rsid w:val="6D3671B7"/>
    <w:rsid w:val="6D490077"/>
    <w:rsid w:val="6D4A4A10"/>
    <w:rsid w:val="6D4D2752"/>
    <w:rsid w:val="6D5910F7"/>
    <w:rsid w:val="6D5B09CB"/>
    <w:rsid w:val="6D885538"/>
    <w:rsid w:val="6D943EDD"/>
    <w:rsid w:val="6DA46816"/>
    <w:rsid w:val="6DB1683D"/>
    <w:rsid w:val="6DB8406F"/>
    <w:rsid w:val="6DC76061"/>
    <w:rsid w:val="6DE07122"/>
    <w:rsid w:val="6DE35975"/>
    <w:rsid w:val="6DEA7FA1"/>
    <w:rsid w:val="6DEC1F6B"/>
    <w:rsid w:val="6DFD7CD4"/>
    <w:rsid w:val="6DFF3A4C"/>
    <w:rsid w:val="6E005A16"/>
    <w:rsid w:val="6E0F7A08"/>
    <w:rsid w:val="6E2A65EF"/>
    <w:rsid w:val="6E2E7E8E"/>
    <w:rsid w:val="6E510020"/>
    <w:rsid w:val="6E5F44EB"/>
    <w:rsid w:val="6E6B7334"/>
    <w:rsid w:val="6E6E0BD2"/>
    <w:rsid w:val="6E7004A6"/>
    <w:rsid w:val="6E732FA9"/>
    <w:rsid w:val="6E7D7067"/>
    <w:rsid w:val="6E896EA8"/>
    <w:rsid w:val="6E970129"/>
    <w:rsid w:val="6EB56801"/>
    <w:rsid w:val="6EC95E08"/>
    <w:rsid w:val="6ED529FF"/>
    <w:rsid w:val="6EE40E94"/>
    <w:rsid w:val="6EE669BA"/>
    <w:rsid w:val="6F0E7CBF"/>
    <w:rsid w:val="6F141779"/>
    <w:rsid w:val="6F3911E0"/>
    <w:rsid w:val="6F4436E1"/>
    <w:rsid w:val="6F452166"/>
    <w:rsid w:val="6F5222A2"/>
    <w:rsid w:val="6F5735C5"/>
    <w:rsid w:val="6F683873"/>
    <w:rsid w:val="6F685E7E"/>
    <w:rsid w:val="6F6F69B0"/>
    <w:rsid w:val="6F906926"/>
    <w:rsid w:val="6F926B42"/>
    <w:rsid w:val="6F991C7F"/>
    <w:rsid w:val="6FA0300D"/>
    <w:rsid w:val="6FA81EC2"/>
    <w:rsid w:val="6FAA3E8C"/>
    <w:rsid w:val="6FAF14A2"/>
    <w:rsid w:val="6FAF3250"/>
    <w:rsid w:val="6FCF56A0"/>
    <w:rsid w:val="6FD26F3F"/>
    <w:rsid w:val="6FDC1B6B"/>
    <w:rsid w:val="6FDD600F"/>
    <w:rsid w:val="6FE0165C"/>
    <w:rsid w:val="6FE56C72"/>
    <w:rsid w:val="6FF375E1"/>
    <w:rsid w:val="6FF670D1"/>
    <w:rsid w:val="70032CC0"/>
    <w:rsid w:val="70096E04"/>
    <w:rsid w:val="70223A22"/>
    <w:rsid w:val="70343755"/>
    <w:rsid w:val="704B11CB"/>
    <w:rsid w:val="704C0A9F"/>
    <w:rsid w:val="704C4F43"/>
    <w:rsid w:val="707029DF"/>
    <w:rsid w:val="70770B8F"/>
    <w:rsid w:val="707D334E"/>
    <w:rsid w:val="70877D29"/>
    <w:rsid w:val="709541F4"/>
    <w:rsid w:val="709F1517"/>
    <w:rsid w:val="70AB3A18"/>
    <w:rsid w:val="70AE3508"/>
    <w:rsid w:val="70B825D8"/>
    <w:rsid w:val="70C04FE9"/>
    <w:rsid w:val="70EB475C"/>
    <w:rsid w:val="71325EE7"/>
    <w:rsid w:val="713A2FED"/>
    <w:rsid w:val="713F0604"/>
    <w:rsid w:val="714025F2"/>
    <w:rsid w:val="714967AA"/>
    <w:rsid w:val="714E0847"/>
    <w:rsid w:val="71520337"/>
    <w:rsid w:val="71665B90"/>
    <w:rsid w:val="716F713B"/>
    <w:rsid w:val="717E112C"/>
    <w:rsid w:val="71922E29"/>
    <w:rsid w:val="719E17CE"/>
    <w:rsid w:val="71A130D0"/>
    <w:rsid w:val="71B2527A"/>
    <w:rsid w:val="71C32FE3"/>
    <w:rsid w:val="71C84B3A"/>
    <w:rsid w:val="71D945B4"/>
    <w:rsid w:val="71DF315D"/>
    <w:rsid w:val="71E02DC1"/>
    <w:rsid w:val="71E52F59"/>
    <w:rsid w:val="72071122"/>
    <w:rsid w:val="721B697B"/>
    <w:rsid w:val="723839D1"/>
    <w:rsid w:val="723E2669"/>
    <w:rsid w:val="725E2D0C"/>
    <w:rsid w:val="725E2DC6"/>
    <w:rsid w:val="72640322"/>
    <w:rsid w:val="7275252F"/>
    <w:rsid w:val="727644F9"/>
    <w:rsid w:val="72783DCD"/>
    <w:rsid w:val="727918F3"/>
    <w:rsid w:val="72850298"/>
    <w:rsid w:val="729D1A86"/>
    <w:rsid w:val="729D3834"/>
    <w:rsid w:val="72A66B8C"/>
    <w:rsid w:val="72B34E05"/>
    <w:rsid w:val="72BA6194"/>
    <w:rsid w:val="72BF19FC"/>
    <w:rsid w:val="72CA214F"/>
    <w:rsid w:val="72CB65F3"/>
    <w:rsid w:val="72D00542"/>
    <w:rsid w:val="72DF209E"/>
    <w:rsid w:val="72E74AAF"/>
    <w:rsid w:val="72F13B80"/>
    <w:rsid w:val="73027B3B"/>
    <w:rsid w:val="73092C77"/>
    <w:rsid w:val="731A30D6"/>
    <w:rsid w:val="73214465"/>
    <w:rsid w:val="73223D39"/>
    <w:rsid w:val="7329331A"/>
    <w:rsid w:val="73410663"/>
    <w:rsid w:val="734B3290"/>
    <w:rsid w:val="735E7467"/>
    <w:rsid w:val="73644352"/>
    <w:rsid w:val="73651B33"/>
    <w:rsid w:val="737547B1"/>
    <w:rsid w:val="737F118B"/>
    <w:rsid w:val="73922C6D"/>
    <w:rsid w:val="73AA6208"/>
    <w:rsid w:val="73AD3F4B"/>
    <w:rsid w:val="73AF1A71"/>
    <w:rsid w:val="73B13A3B"/>
    <w:rsid w:val="73B54BAD"/>
    <w:rsid w:val="73BC5F3C"/>
    <w:rsid w:val="73BF77DA"/>
    <w:rsid w:val="73C92407"/>
    <w:rsid w:val="73CF5C6F"/>
    <w:rsid w:val="73E01C2A"/>
    <w:rsid w:val="73E20B38"/>
    <w:rsid w:val="73E831D5"/>
    <w:rsid w:val="73F27BAF"/>
    <w:rsid w:val="73F73418"/>
    <w:rsid w:val="74085625"/>
    <w:rsid w:val="740B2A1F"/>
    <w:rsid w:val="742C364E"/>
    <w:rsid w:val="7431692A"/>
    <w:rsid w:val="74373814"/>
    <w:rsid w:val="74493C73"/>
    <w:rsid w:val="74512B28"/>
    <w:rsid w:val="746A3BEA"/>
    <w:rsid w:val="74836A59"/>
    <w:rsid w:val="7490294A"/>
    <w:rsid w:val="74935D79"/>
    <w:rsid w:val="74A52E74"/>
    <w:rsid w:val="74A569D0"/>
    <w:rsid w:val="74B310ED"/>
    <w:rsid w:val="74BF3F35"/>
    <w:rsid w:val="74C00306"/>
    <w:rsid w:val="74C61D92"/>
    <w:rsid w:val="74D15A17"/>
    <w:rsid w:val="74DF0134"/>
    <w:rsid w:val="74E05C5A"/>
    <w:rsid w:val="74E92D60"/>
    <w:rsid w:val="74F17E67"/>
    <w:rsid w:val="75061B64"/>
    <w:rsid w:val="75091655"/>
    <w:rsid w:val="751F2C26"/>
    <w:rsid w:val="751F42D8"/>
    <w:rsid w:val="75287D2D"/>
    <w:rsid w:val="754206C3"/>
    <w:rsid w:val="7572236F"/>
    <w:rsid w:val="75894543"/>
    <w:rsid w:val="758E56B6"/>
    <w:rsid w:val="75A5137D"/>
    <w:rsid w:val="75BE41ED"/>
    <w:rsid w:val="75C64E50"/>
    <w:rsid w:val="75D7705D"/>
    <w:rsid w:val="75ED062E"/>
    <w:rsid w:val="760925E8"/>
    <w:rsid w:val="761756AB"/>
    <w:rsid w:val="761B721C"/>
    <w:rsid w:val="76206C56"/>
    <w:rsid w:val="76361FD5"/>
    <w:rsid w:val="76375D4D"/>
    <w:rsid w:val="76393874"/>
    <w:rsid w:val="765468FF"/>
    <w:rsid w:val="765C7562"/>
    <w:rsid w:val="76684F0A"/>
    <w:rsid w:val="767F782B"/>
    <w:rsid w:val="76813BAB"/>
    <w:rsid w:val="76911902"/>
    <w:rsid w:val="769B62DC"/>
    <w:rsid w:val="76A2766B"/>
    <w:rsid w:val="76B93FE2"/>
    <w:rsid w:val="76B949B4"/>
    <w:rsid w:val="76D32947"/>
    <w:rsid w:val="76D812DE"/>
    <w:rsid w:val="76D8308D"/>
    <w:rsid w:val="76E557A9"/>
    <w:rsid w:val="76EC08E6"/>
    <w:rsid w:val="77000835"/>
    <w:rsid w:val="770B16B4"/>
    <w:rsid w:val="770E2F52"/>
    <w:rsid w:val="7713761C"/>
    <w:rsid w:val="771B11CB"/>
    <w:rsid w:val="771C566F"/>
    <w:rsid w:val="772B7660"/>
    <w:rsid w:val="77302EC9"/>
    <w:rsid w:val="774921DC"/>
    <w:rsid w:val="77505500"/>
    <w:rsid w:val="77674410"/>
    <w:rsid w:val="7769462C"/>
    <w:rsid w:val="776D5ECB"/>
    <w:rsid w:val="776E579F"/>
    <w:rsid w:val="7772528F"/>
    <w:rsid w:val="77876861"/>
    <w:rsid w:val="7789082B"/>
    <w:rsid w:val="778D20C9"/>
    <w:rsid w:val="779F3BAA"/>
    <w:rsid w:val="77A25449"/>
    <w:rsid w:val="77A318EC"/>
    <w:rsid w:val="77B238DE"/>
    <w:rsid w:val="77B47B09"/>
    <w:rsid w:val="77BC29AE"/>
    <w:rsid w:val="77F42148"/>
    <w:rsid w:val="77F51A1C"/>
    <w:rsid w:val="78324A1E"/>
    <w:rsid w:val="783562BD"/>
    <w:rsid w:val="7859644F"/>
    <w:rsid w:val="785C7CED"/>
    <w:rsid w:val="78880AE2"/>
    <w:rsid w:val="789418E6"/>
    <w:rsid w:val="789E20B4"/>
    <w:rsid w:val="78C25DA2"/>
    <w:rsid w:val="78C55892"/>
    <w:rsid w:val="78C7785D"/>
    <w:rsid w:val="78D36201"/>
    <w:rsid w:val="78D41F79"/>
    <w:rsid w:val="78DB550B"/>
    <w:rsid w:val="78DD0E2E"/>
    <w:rsid w:val="78E24696"/>
    <w:rsid w:val="78E71CAD"/>
    <w:rsid w:val="78E75809"/>
    <w:rsid w:val="78FB7506"/>
    <w:rsid w:val="78FC1D37"/>
    <w:rsid w:val="79112886"/>
    <w:rsid w:val="79200D1B"/>
    <w:rsid w:val="79442C5B"/>
    <w:rsid w:val="79515378"/>
    <w:rsid w:val="79570BE0"/>
    <w:rsid w:val="795F5CE7"/>
    <w:rsid w:val="796055BB"/>
    <w:rsid w:val="796706F8"/>
    <w:rsid w:val="79674B9C"/>
    <w:rsid w:val="7967694A"/>
    <w:rsid w:val="797509D8"/>
    <w:rsid w:val="79815C5D"/>
    <w:rsid w:val="7990480E"/>
    <w:rsid w:val="799A287B"/>
    <w:rsid w:val="79A951B4"/>
    <w:rsid w:val="79B0209F"/>
    <w:rsid w:val="79D35D8D"/>
    <w:rsid w:val="79DF4732"/>
    <w:rsid w:val="79E104AA"/>
    <w:rsid w:val="79EA1A55"/>
    <w:rsid w:val="7A170370"/>
    <w:rsid w:val="7A1E525A"/>
    <w:rsid w:val="7A3C1B84"/>
    <w:rsid w:val="7A480529"/>
    <w:rsid w:val="7A5A025C"/>
    <w:rsid w:val="7A6335B5"/>
    <w:rsid w:val="7A7C01D3"/>
    <w:rsid w:val="7A7C6425"/>
    <w:rsid w:val="7A85177D"/>
    <w:rsid w:val="7A886B78"/>
    <w:rsid w:val="7A8A7461"/>
    <w:rsid w:val="7A9279F6"/>
    <w:rsid w:val="7A9C0875"/>
    <w:rsid w:val="7AAC0AB8"/>
    <w:rsid w:val="7ABE4C8F"/>
    <w:rsid w:val="7AC80778"/>
    <w:rsid w:val="7AC8166A"/>
    <w:rsid w:val="7ACD0A2E"/>
    <w:rsid w:val="7AD86450"/>
    <w:rsid w:val="7AEF6BF7"/>
    <w:rsid w:val="7B220D7A"/>
    <w:rsid w:val="7B257DAB"/>
    <w:rsid w:val="7B2A40D3"/>
    <w:rsid w:val="7B3F192C"/>
    <w:rsid w:val="7B42766E"/>
    <w:rsid w:val="7B520FD5"/>
    <w:rsid w:val="7B537186"/>
    <w:rsid w:val="7B551150"/>
    <w:rsid w:val="7B5F1FCE"/>
    <w:rsid w:val="7B615D46"/>
    <w:rsid w:val="7B735A7A"/>
    <w:rsid w:val="7B7470FC"/>
    <w:rsid w:val="7B7B492E"/>
    <w:rsid w:val="7B876E2F"/>
    <w:rsid w:val="7B9D6653"/>
    <w:rsid w:val="7BAE260E"/>
    <w:rsid w:val="7BB35E76"/>
    <w:rsid w:val="7BC167E5"/>
    <w:rsid w:val="7BC938EC"/>
    <w:rsid w:val="7BD302C6"/>
    <w:rsid w:val="7BE129E3"/>
    <w:rsid w:val="7C091F3A"/>
    <w:rsid w:val="7C0B180E"/>
    <w:rsid w:val="7C142DB9"/>
    <w:rsid w:val="7C1A7CA3"/>
    <w:rsid w:val="7C1F350C"/>
    <w:rsid w:val="7C2E374F"/>
    <w:rsid w:val="7C350F81"/>
    <w:rsid w:val="7C3F770A"/>
    <w:rsid w:val="7C444D20"/>
    <w:rsid w:val="7C4B2553"/>
    <w:rsid w:val="7C4D0079"/>
    <w:rsid w:val="7C4D1E27"/>
    <w:rsid w:val="7C5533D1"/>
    <w:rsid w:val="7C555EFF"/>
    <w:rsid w:val="7C647A33"/>
    <w:rsid w:val="7C6F4493"/>
    <w:rsid w:val="7C865339"/>
    <w:rsid w:val="7C9C690A"/>
    <w:rsid w:val="7C9E2682"/>
    <w:rsid w:val="7CA0289E"/>
    <w:rsid w:val="7CA0464C"/>
    <w:rsid w:val="7CC27A6B"/>
    <w:rsid w:val="7CCF4F32"/>
    <w:rsid w:val="7CE34539"/>
    <w:rsid w:val="7D0D15B6"/>
    <w:rsid w:val="7D4A0A5C"/>
    <w:rsid w:val="7D4A45B8"/>
    <w:rsid w:val="7D5D42EC"/>
    <w:rsid w:val="7D7B29C4"/>
    <w:rsid w:val="7D80447E"/>
    <w:rsid w:val="7D853842"/>
    <w:rsid w:val="7D9615AC"/>
    <w:rsid w:val="7D99109C"/>
    <w:rsid w:val="7D9D293A"/>
    <w:rsid w:val="7DA55C93"/>
    <w:rsid w:val="7DAB14FB"/>
    <w:rsid w:val="7DDA1DE0"/>
    <w:rsid w:val="7DE06CCB"/>
    <w:rsid w:val="7DE1316F"/>
    <w:rsid w:val="7DF32EA2"/>
    <w:rsid w:val="7DFA7833"/>
    <w:rsid w:val="7DFD787D"/>
    <w:rsid w:val="7DFF53A3"/>
    <w:rsid w:val="7E2272E3"/>
    <w:rsid w:val="7E350DC4"/>
    <w:rsid w:val="7E394D59"/>
    <w:rsid w:val="7E3C0429"/>
    <w:rsid w:val="7E4234E1"/>
    <w:rsid w:val="7E462FD2"/>
    <w:rsid w:val="7E4B3379"/>
    <w:rsid w:val="7E4B4A8C"/>
    <w:rsid w:val="7E543940"/>
    <w:rsid w:val="7E851D4C"/>
    <w:rsid w:val="7EAA3560"/>
    <w:rsid w:val="7EB0669D"/>
    <w:rsid w:val="7EB22415"/>
    <w:rsid w:val="7ECA3C03"/>
    <w:rsid w:val="7ED06D3F"/>
    <w:rsid w:val="7EEA6053"/>
    <w:rsid w:val="7EED169F"/>
    <w:rsid w:val="7EEF18BB"/>
    <w:rsid w:val="7F052E8D"/>
    <w:rsid w:val="7F1629A4"/>
    <w:rsid w:val="7F1E7AAB"/>
    <w:rsid w:val="7F280929"/>
    <w:rsid w:val="7F2826D7"/>
    <w:rsid w:val="7F3F054A"/>
    <w:rsid w:val="7F4101B1"/>
    <w:rsid w:val="7F427C3D"/>
    <w:rsid w:val="7F4734A5"/>
    <w:rsid w:val="7F567244"/>
    <w:rsid w:val="7F5931D8"/>
    <w:rsid w:val="7F5E434B"/>
    <w:rsid w:val="7F651B7D"/>
    <w:rsid w:val="7F741DC0"/>
    <w:rsid w:val="7F947D6D"/>
    <w:rsid w:val="7F9C0D7A"/>
    <w:rsid w:val="7FA501CC"/>
    <w:rsid w:val="7FAC3308"/>
    <w:rsid w:val="7FB4040F"/>
    <w:rsid w:val="7FB95830"/>
    <w:rsid w:val="7FCE14D1"/>
    <w:rsid w:val="7FD90CF2"/>
    <w:rsid w:val="7FE231CE"/>
    <w:rsid w:val="7FE5681A"/>
    <w:rsid w:val="7FF52F01"/>
    <w:rsid w:val="7FF60A27"/>
    <w:rsid w:val="7FF8654D"/>
    <w:rsid w:val="7FFA051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3"/>
    <w:qFormat/>
    <w:uiPriority w:val="9"/>
    <w:pPr>
      <w:keepNext/>
      <w:keepLines/>
      <w:spacing w:line="360" w:lineRule="auto"/>
      <w:jc w:val="center"/>
      <w:outlineLvl w:val="0"/>
    </w:pPr>
    <w:rPr>
      <w:rFonts w:eastAsia="微软雅黑"/>
      <w:b/>
      <w:bCs/>
      <w:kern w:val="44"/>
      <w:sz w:val="32"/>
      <w:szCs w:val="44"/>
    </w:rPr>
  </w:style>
  <w:style w:type="paragraph" w:styleId="3">
    <w:name w:val="heading 2"/>
    <w:basedOn w:val="1"/>
    <w:next w:val="1"/>
    <w:link w:val="14"/>
    <w:unhideWhenUsed/>
    <w:qFormat/>
    <w:uiPriority w:val="9"/>
    <w:pPr>
      <w:keepNext/>
      <w:keepLines/>
      <w:spacing w:line="360" w:lineRule="auto"/>
      <w:jc w:val="center"/>
      <w:outlineLvl w:val="1"/>
    </w:pPr>
    <w:rPr>
      <w:rFonts w:eastAsia="微软雅黑" w:asciiTheme="majorHAnsi" w:hAnsiTheme="majorHAnsi" w:cstheme="majorBidi"/>
      <w:b/>
      <w:bCs/>
      <w:sz w:val="30"/>
      <w:szCs w:val="32"/>
    </w:rPr>
  </w:style>
  <w:style w:type="paragraph" w:styleId="4">
    <w:name w:val="heading 4"/>
    <w:basedOn w:val="1"/>
    <w:next w:val="1"/>
    <w:unhideWhenUsed/>
    <w:qFormat/>
    <w:uiPriority w:val="0"/>
    <w:pPr>
      <w:keepNext/>
      <w:keepLines/>
      <w:spacing w:beforeLines="0" w:beforeAutospacing="0" w:afterLines="0" w:afterAutospacing="0" w:line="360" w:lineRule="auto"/>
      <w:outlineLvl w:val="3"/>
    </w:pPr>
    <w:rPr>
      <w:rFonts w:ascii="Arial" w:hAnsi="Arial" w:eastAsia="宋体"/>
      <w:b/>
    </w:rPr>
  </w:style>
  <w:style w:type="character" w:default="1" w:styleId="11">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5">
    <w:name w:val="footer"/>
    <w:basedOn w:val="1"/>
    <w:link w:val="17"/>
    <w:unhideWhenUsed/>
    <w:qFormat/>
    <w:uiPriority w:val="99"/>
    <w:pPr>
      <w:tabs>
        <w:tab w:val="center" w:pos="4153"/>
        <w:tab w:val="right" w:pos="8306"/>
      </w:tabs>
      <w:snapToGrid w:val="0"/>
      <w:jc w:val="left"/>
    </w:pPr>
    <w:rPr>
      <w:sz w:val="18"/>
      <w:szCs w:val="18"/>
    </w:rPr>
  </w:style>
  <w:style w:type="paragraph" w:styleId="6">
    <w:name w:val="header"/>
    <w:basedOn w:val="1"/>
    <w:link w:val="16"/>
    <w:unhideWhenUsed/>
    <w:qFormat/>
    <w:uiPriority w:val="99"/>
    <w:pPr>
      <w:pBdr>
        <w:bottom w:val="single" w:color="auto" w:sz="6" w:space="1"/>
      </w:pBdr>
      <w:tabs>
        <w:tab w:val="center" w:pos="4153"/>
        <w:tab w:val="right" w:pos="8306"/>
      </w:tabs>
      <w:snapToGrid w:val="0"/>
      <w:jc w:val="center"/>
    </w:pPr>
    <w:rPr>
      <w:sz w:val="18"/>
      <w:szCs w:val="18"/>
    </w:rPr>
  </w:style>
  <w:style w:type="paragraph" w:styleId="7">
    <w:name w:val="toc 1"/>
    <w:basedOn w:val="1"/>
    <w:next w:val="1"/>
    <w:unhideWhenUsed/>
    <w:qFormat/>
    <w:uiPriority w:val="39"/>
    <w:pPr>
      <w:tabs>
        <w:tab w:val="right" w:leader="dot" w:pos="10456"/>
      </w:tabs>
    </w:pPr>
    <w:rPr>
      <w:rFonts w:ascii="微软雅黑" w:hAnsi="微软雅黑" w:eastAsia="微软雅黑"/>
      <w:b/>
      <w:bCs/>
      <w:sz w:val="24"/>
      <w:szCs w:val="28"/>
    </w:rPr>
  </w:style>
  <w:style w:type="paragraph" w:styleId="8">
    <w:name w:val="toc 2"/>
    <w:basedOn w:val="1"/>
    <w:next w:val="1"/>
    <w:unhideWhenUsed/>
    <w:qFormat/>
    <w:uiPriority w:val="39"/>
    <w:pPr>
      <w:ind w:left="420" w:leftChars="200"/>
    </w:pPr>
  </w:style>
  <w:style w:type="table" w:styleId="10">
    <w:name w:val="Table Grid"/>
    <w:basedOn w:val="9"/>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2">
    <w:name w:val="Hyperlink"/>
    <w:basedOn w:val="11"/>
    <w:unhideWhenUsed/>
    <w:qFormat/>
    <w:uiPriority w:val="99"/>
    <w:rPr>
      <w:color w:val="0563C1" w:themeColor="hyperlink"/>
      <w:u w:val="single"/>
      <w14:textFill>
        <w14:solidFill>
          <w14:schemeClr w14:val="hlink"/>
        </w14:solidFill>
      </w14:textFill>
    </w:rPr>
  </w:style>
  <w:style w:type="character" w:customStyle="1" w:styleId="13">
    <w:name w:val="标题 1 字符"/>
    <w:basedOn w:val="11"/>
    <w:link w:val="2"/>
    <w:qFormat/>
    <w:uiPriority w:val="9"/>
    <w:rPr>
      <w:rFonts w:eastAsia="微软雅黑"/>
      <w:b/>
      <w:bCs/>
      <w:kern w:val="44"/>
      <w:sz w:val="32"/>
      <w:szCs w:val="44"/>
    </w:rPr>
  </w:style>
  <w:style w:type="character" w:customStyle="1" w:styleId="14">
    <w:name w:val="标题 2 字符"/>
    <w:basedOn w:val="11"/>
    <w:link w:val="3"/>
    <w:qFormat/>
    <w:uiPriority w:val="9"/>
    <w:rPr>
      <w:rFonts w:eastAsia="微软雅黑" w:asciiTheme="majorHAnsi" w:hAnsiTheme="majorHAnsi" w:cstheme="majorBidi"/>
      <w:b/>
      <w:bCs/>
      <w:sz w:val="30"/>
      <w:szCs w:val="32"/>
    </w:rPr>
  </w:style>
  <w:style w:type="paragraph" w:customStyle="1" w:styleId="15">
    <w:name w:val="TOC Heading"/>
    <w:basedOn w:val="2"/>
    <w:next w:val="1"/>
    <w:unhideWhenUsed/>
    <w:qFormat/>
    <w:uiPriority w:val="39"/>
    <w:pPr>
      <w:widowControl/>
      <w:spacing w:before="240" w:line="259" w:lineRule="auto"/>
      <w:jc w:val="left"/>
      <w:outlineLvl w:val="9"/>
    </w:pPr>
    <w:rPr>
      <w:rFonts w:asciiTheme="majorHAnsi" w:hAnsiTheme="majorHAnsi" w:eastAsiaTheme="majorEastAsia" w:cstheme="majorBidi"/>
      <w:b w:val="0"/>
      <w:bCs w:val="0"/>
      <w:color w:val="2F5597" w:themeColor="accent1" w:themeShade="BF"/>
      <w:kern w:val="0"/>
      <w:szCs w:val="32"/>
    </w:rPr>
  </w:style>
  <w:style w:type="character" w:customStyle="1" w:styleId="16">
    <w:name w:val="页眉 字符"/>
    <w:basedOn w:val="11"/>
    <w:link w:val="6"/>
    <w:qFormat/>
    <w:uiPriority w:val="99"/>
    <w:rPr>
      <w:sz w:val="18"/>
      <w:szCs w:val="18"/>
    </w:rPr>
  </w:style>
  <w:style w:type="character" w:customStyle="1" w:styleId="17">
    <w:name w:val="页脚 字符"/>
    <w:basedOn w:val="11"/>
    <w:link w:val="5"/>
    <w:qFormat/>
    <w:uiPriority w:val="99"/>
    <w:rPr>
      <w:sz w:val="18"/>
      <w:szCs w:val="18"/>
    </w:rPr>
  </w:style>
  <w:style w:type="paragraph" w:customStyle="1" w:styleId="18">
    <w:name w:val="Table Text"/>
    <w:basedOn w:val="1"/>
    <w:semiHidden/>
    <w:qFormat/>
    <w:uiPriority w:val="0"/>
    <w:rPr>
      <w:rFonts w:ascii="宋体" w:hAnsi="宋体" w:eastAsia="宋体" w:cs="宋体"/>
      <w:sz w:val="21"/>
      <w:szCs w:val="21"/>
      <w:lang w:val="en-US" w:eastAsia="en-US" w:bidi="ar-SA"/>
    </w:rPr>
  </w:style>
  <w:style w:type="table" w:customStyle="1" w:styleId="19">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png"/><Relationship Id="rId5" Type="http://schemas.openxmlformats.org/officeDocument/2006/relationships/image" Target="media/image1.jpeg"/><Relationship Id="rId44" Type="http://schemas.openxmlformats.org/officeDocument/2006/relationships/fontTable" Target="fontTable.xml"/><Relationship Id="rId43" Type="http://schemas.openxmlformats.org/officeDocument/2006/relationships/customXml" Target="../customXml/item1.xml"/><Relationship Id="rId42" Type="http://schemas.openxmlformats.org/officeDocument/2006/relationships/numbering" Target="numbering.xml"/><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jpe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4E02F6-3A1C-43DE-A3A6-85BD37206759}">
  <ds:schemaRefs/>
</ds:datastoreItem>
</file>

<file path=docProps/app.xml><?xml version="1.0" encoding="utf-8"?>
<Properties xmlns="http://schemas.openxmlformats.org/officeDocument/2006/extended-properties" xmlns:vt="http://schemas.openxmlformats.org/officeDocument/2006/docPropsVTypes">
  <Template>Normal</Template>
  <Pages>23</Pages>
  <Words>7099</Words>
  <Characters>7634</Characters>
  <Lines>395</Lines>
  <Paragraphs>111</Paragraphs>
  <TotalTime>0</TotalTime>
  <ScaleCrop>false</ScaleCrop>
  <LinksUpToDate>false</LinksUpToDate>
  <CharactersWithSpaces>7718</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2022-04-06T01:32:00Z</dcterms:created>
  <dc:creator>49236</dc:creator>
  <cp:lastModifiedBy>悠蓝的梦</cp:lastModifiedBy>
  <cp:lastPrinted>2022-04-13T02:41:00Z</cp:lastPrinted>
  <dcterms:modified xsi:type="dcterms:W3CDTF">2025-04-24T02:23:54Z</dcterms:modified>
  <cp:revision>53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3DE41615F06A427E8E1D434B9DB02D35</vt:lpwstr>
  </property>
  <property fmtid="{D5CDD505-2E9C-101B-9397-08002B2CF9AE}" pid="4" name="KSOTemplateDocerSaveRecord">
    <vt:lpwstr>eyJoZGlkIjoiZTZmZTA4Y2M4OGJmMGY5ZmEyYTQ1NWZjYzk2OTU2MGIiLCJ1c2VySWQiOiIxNTUxMTA1OTk1In0=</vt:lpwstr>
  </property>
</Properties>
</file>